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E2" w:rsidRPr="001D4CE2" w:rsidRDefault="001D4CE2" w:rsidP="001D4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>МЕТОДИЧНІ РЕКОМЕНДАЦІЇ ЩОДО УКЛАДАННЯ ПЛАНУ З ПРОТИДІЇ БУЛІНГУ</w:t>
      </w:r>
    </w:p>
    <w:p w:rsidR="006D23D0" w:rsidRDefault="006D23D0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D4CE2" w:rsidRPr="001D4CE2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Організація безпечного освітнього середовища передбачає не тільки дотримання в закладі освіти санітарних норм, а й відсутність у педагогічному та учнівському колективах будь-яких проявів дискримінації та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): комфортні психологічні умови – запорука ефективної роботи та якісного навчання. В Абетці для директора наголошується: «Такий важливий аспект освітньої діяльності, як запобігання будь-яким проявам дискримінації і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(цькування) в закладі, потребує чіткого планування та дій. Комплекс заходів із запобігання, профілактики та попередження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складає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антибулінгову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політику закладу. Політика запобігання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у закладі освіти має бути комплексною і охоплювати всіх учасників освітнього процесу»18 . Враховуючи сучасні тенденції розвитку дітей та молоді, переоцінити роль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антибулінгової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політики в освітньому закладі неможливо, адже «занурення» у віртуальний світ призводить до асоціальності підлітків, унеможливлення розвитку комунікативних навичок, які так необхідні при живому спілкуванні. Прояв жорстокості в дитячому віці накладає відбиток на все життя, причому як для жертви, так і для кривдника. Для того, щоб викоренити явище цькування серед підлітків, виховних годин замало – на це має бути спрямовано роботу всього колективу та батьківської спільноти зокрема. Відомо, що реалізовані в закладах освіти України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зі створення безпечного й комфортного середовища (наприклад «Безпечна і дружня до дитини школа», «Створення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безнасильницького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середовища», «Створення системи служб порозуміння для впровадження медіації за принципом «рівний-рівному» та вирішення конфліктів мирним шляхом у закладах освіти </w:t>
      </w:r>
      <w:r w:rsidR="006D23D0">
        <w:rPr>
          <w:rFonts w:ascii="Times New Roman" w:hAnsi="Times New Roman" w:cs="Times New Roman"/>
          <w:sz w:val="28"/>
          <w:szCs w:val="28"/>
        </w:rPr>
        <w:t xml:space="preserve"> </w:t>
      </w:r>
      <w:r w:rsidRPr="001D4CE2">
        <w:rPr>
          <w:rFonts w:ascii="Times New Roman" w:hAnsi="Times New Roman" w:cs="Times New Roman"/>
          <w:sz w:val="28"/>
          <w:szCs w:val="28"/>
        </w:rPr>
        <w:t xml:space="preserve"> дають реально позитивні результати. Ключовою відмінністю цих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є те, що об’єктами впливу є не лише учні, а й вчителі, обслуговуючий персонал школи та батьки: з усіма категоріями проводиться навчання (тренінги, семінари, форуми), роз’яснювальна робота та діагностика. У деяких закладах освіти навіть вносяться зміни до посадових інструкцій осіб, що відповідають за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антибулінгову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політику. Система протидії насильства та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в закладі може включати такі заходи: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1. Моніторинг ситуації та аналізу соціально-психологічного клімату в закладі, оцінка рівня підготовки педагогів щодо їх професійної компетентності зі створення безпечних умов, оцінка наявних матеріальних ресурсів, ресурсів освітнього процесу.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lastRenderedPageBreak/>
        <w:t xml:space="preserve">2. Розробка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антибулінгової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політики, імплементація нормативно-правової бази, організація психосоціальної підтримки.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3. Інформаційно-просвітницька діяльність: підготовка педагогічних працівників, інформування та навчання учнів, батьків, персоналу, залучення громади та удосконалення системи участі учнівського самоврядування у створенні безпечного освітнього простору.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4. Внесення до локальних документів заходів з попередження насильства та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: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Видання наказу про створення комісії з розгляду випадків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, про призначення відповідальної особи.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Внесення доповнень до Статуту закладу, що закладає юридичну основу для вжиття заходів з недопущення насильства та реагування на випадки його проявів в освітньому процесі, до Правил внутрішнього трудового розпорядку.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Внесення доповнень до посадових інструкцій класних керівників, учителів-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>, психолога, соціального педагога, медичної сестри, обслуговуючого персоналу щодо їх дій у разі виявлення випадків насильства/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в закладі відповідно до нормативно-правових документів: Закону України «Про освіту», Закону України «Про внесення змін до деяких законодавчих актів України щодо протидії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(цькуванню)», Постанови КМУ від 03.10.2018 №800 «Деякі питання соціального захисту дітей, які перебувають у складних життєвих обставин, у тому числі таких, що можуть загрожувати їх життю та здоров’ю», листа МОН України від 29.01.2019 р. №1/11-881 «Рекомендації для закладів освіти щодо застосувань норм Закону України «Про внесення змін до деяких законодавчих актів України щодо протидії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(цькуванню) від 18 грудня 2018 року №2657-VIII».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Внесення до річного плану розділу з протидії насильству та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); оформлення 18 Абетка для директора: рекомендації до побудови внутрішньої системи забезпечення якості освіти у закладі загальної середньої освіти /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Бобровський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М. В., Горбачов С. І.,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Заплотинська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О. О. – Київ, Державна служба якості освіти, 2020. – С. 22 розділу 3. НОВА УКРАЇНСЬКА ШКОЛА 57 Журналу реєстрації заяв про випадки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(цькування), Журналу реєстрації рішень комісії з розгляду випадків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(цькування); видання наказу про створення комісії з огляду приміщень і території закладу з метою виявлення потенційно небезпечних місць.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Укладання плану скоординованих дій закладу освіти з працівниками Служби у справах дітей (ССД), відділу поліції щодо профілактики та попередження правопорушень, злочинності, безпритульності, бродяжництва, насильства, жорстокого поводження,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суїцидальної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поведінки, шкідливих звичок серед дітей та учнівської молоді, формуванню здорового способу життя серед учнів. </w:t>
      </w:r>
      <w:r w:rsidRPr="001D4CE2">
        <w:rPr>
          <w:rFonts w:ascii="Times New Roman" w:hAnsi="Times New Roman" w:cs="Times New Roman"/>
          <w:sz w:val="28"/>
          <w:szCs w:val="28"/>
        </w:rPr>
        <w:sym w:font="Symbol" w:char="F0FC"/>
      </w:r>
      <w:r w:rsidRPr="001D4CE2">
        <w:rPr>
          <w:rFonts w:ascii="Times New Roman" w:hAnsi="Times New Roman" w:cs="Times New Roman"/>
          <w:sz w:val="28"/>
          <w:szCs w:val="28"/>
        </w:rPr>
        <w:t xml:space="preserve"> Внесення виховної роботи з означеної проблем у виховні плани класних керівників, шкільного самоврядування тощо.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lastRenderedPageBreak/>
        <w:t xml:space="preserve"> 5. Укладення угод про співпрацю з представниками ювенальної поліції – з питань профілактики правопорушень, проявів жорстокості та насильства, із медичним закладом – з питань профілактики різних захворювань та збереження здоров’я учасників освітнього процесу, зі службою у справах дітей та молоді міста/району/ОТГ, з громадськими організаціями, які опікуються дітьми (якщо такі є).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6. Проходження навчальних тренінгових занять педагогами, учнями закладу, обслуговуючим персоналом, батьківською громадськістю. Паралельно із переліченим – моніторинг: діагностика, навчання, анкетування, опитування учнів, педагогів, батьків, обслуговуючого персоналу щодо проявів дискримінації та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7. Видання пам’яток для дітей, їх батьків, учителів, обслуговуючого персоналу щодо реагування на прояви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; підготовка класними колективами стіннівок,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постерів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, роздаткового матеріалу, буклетів тощо; створення ініціативних груп, шкільних Служб порозуміння тощо. </w:t>
      </w:r>
    </w:p>
    <w:p w:rsidR="00063E92" w:rsidRPr="001D4CE2" w:rsidRDefault="001D4CE2" w:rsidP="001D4CE2">
      <w:pPr>
        <w:jc w:val="both"/>
        <w:rPr>
          <w:rFonts w:ascii="Times New Roman" w:hAnsi="Times New Roman" w:cs="Times New Roman"/>
          <w:sz w:val="28"/>
          <w:szCs w:val="28"/>
        </w:rPr>
      </w:pPr>
      <w:r w:rsidRPr="001D4CE2">
        <w:rPr>
          <w:rFonts w:ascii="Times New Roman" w:hAnsi="Times New Roman" w:cs="Times New Roman"/>
          <w:sz w:val="28"/>
          <w:szCs w:val="28"/>
        </w:rPr>
        <w:t xml:space="preserve">8. Редагування (у разі необхідності) плану дій подальшої реалізації </w:t>
      </w:r>
      <w:proofErr w:type="spellStart"/>
      <w:r w:rsidRPr="001D4CE2">
        <w:rPr>
          <w:rFonts w:ascii="Times New Roman" w:hAnsi="Times New Roman" w:cs="Times New Roman"/>
          <w:sz w:val="28"/>
          <w:szCs w:val="28"/>
        </w:rPr>
        <w:t>антибулінгової</w:t>
      </w:r>
      <w:proofErr w:type="spellEnd"/>
      <w:r w:rsidRPr="001D4CE2">
        <w:rPr>
          <w:rFonts w:ascii="Times New Roman" w:hAnsi="Times New Roman" w:cs="Times New Roman"/>
          <w:sz w:val="28"/>
          <w:szCs w:val="28"/>
        </w:rPr>
        <w:t xml:space="preserve"> політики. </w:t>
      </w:r>
      <w:r w:rsidR="006D23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4CE2">
        <w:rPr>
          <w:rFonts w:ascii="Times New Roman" w:hAnsi="Times New Roman" w:cs="Times New Roman"/>
          <w:sz w:val="28"/>
          <w:szCs w:val="28"/>
        </w:rPr>
        <w:t xml:space="preserve"> </w:t>
      </w:r>
      <w:r w:rsidRPr="001D4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E92" w:rsidRPr="001D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E2"/>
    <w:rsid w:val="00063E92"/>
    <w:rsid w:val="001D4CE2"/>
    <w:rsid w:val="006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4012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санор</dc:creator>
  <cp:lastModifiedBy>санор</cp:lastModifiedBy>
  <cp:revision>2</cp:revision>
  <dcterms:created xsi:type="dcterms:W3CDTF">2023-04-03T08:43:00Z</dcterms:created>
  <dcterms:modified xsi:type="dcterms:W3CDTF">2023-04-03T08:58:00Z</dcterms:modified>
</cp:coreProperties>
</file>