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C536F" w:rsidRDefault="00FC536F">
      <w:pPr>
        <w:spacing w:after="150" w:line="240" w:lineRule="auto"/>
        <w:rPr>
          <w:rFonts w:ascii="Open Sans" w:eastAsia="Open Sans" w:hAnsi="Open Sans" w:cs="Open Sans"/>
          <w:color w:val="000000"/>
          <w:sz w:val="21"/>
          <w:szCs w:val="21"/>
        </w:rPr>
      </w:pPr>
    </w:p>
    <w:p w14:paraId="00000002" w14:textId="77777777" w:rsidR="00FC536F" w:rsidRDefault="00D74463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 xml:space="preserve">Правила </w:t>
      </w:r>
      <w:proofErr w:type="spellStart"/>
      <w:r>
        <w:rPr>
          <w:rFonts w:ascii="Open Sans" w:eastAsia="Open Sans" w:hAnsi="Open Sans" w:cs="Open Sans"/>
          <w:b/>
          <w:color w:val="000000"/>
          <w:sz w:val="28"/>
          <w:szCs w:val="28"/>
        </w:rPr>
        <w:t>прийому</w:t>
      </w:r>
      <w:proofErr w:type="spellEnd"/>
      <w:r>
        <w:rPr>
          <w:rFonts w:ascii="Open Sans" w:eastAsia="Open Sans" w:hAnsi="Open Sans" w:cs="Open Sans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8"/>
          <w:szCs w:val="28"/>
        </w:rPr>
        <w:t>учнів</w:t>
      </w:r>
      <w:proofErr w:type="spellEnd"/>
    </w:p>
    <w:p w14:paraId="00000003" w14:textId="77777777" w:rsidR="00FC536F" w:rsidRDefault="00D74463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 xml:space="preserve">до </w:t>
      </w:r>
      <w:proofErr w:type="spellStart"/>
      <w:r>
        <w:rPr>
          <w:rFonts w:ascii="Open Sans" w:eastAsia="Open Sans" w:hAnsi="Open Sans" w:cs="Open Sans"/>
          <w:b/>
          <w:color w:val="000000"/>
          <w:sz w:val="28"/>
          <w:szCs w:val="28"/>
        </w:rPr>
        <w:t>Рингацько</w:t>
      </w:r>
      <w:r>
        <w:rPr>
          <w:rFonts w:ascii="Open Sans" w:eastAsia="Open Sans" w:hAnsi="Open Sans" w:cs="Open Sans"/>
          <w:b/>
          <w:sz w:val="28"/>
          <w:szCs w:val="28"/>
        </w:rPr>
        <w:t>ї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гімназії</w:t>
      </w:r>
      <w:proofErr w:type="spellEnd"/>
    </w:p>
    <w:p w14:paraId="00000004" w14:textId="77777777" w:rsidR="00FC536F" w:rsidRDefault="00FC536F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</w:p>
    <w:p w14:paraId="00000005" w14:textId="77777777" w:rsidR="00FC536F" w:rsidRDefault="00FC536F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  <w:szCs w:val="28"/>
        </w:rPr>
      </w:pPr>
    </w:p>
    <w:p w14:paraId="00000006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Прийом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Рингацько</w:t>
      </w:r>
      <w:r>
        <w:rPr>
          <w:rFonts w:ascii="Open Sans" w:eastAsia="Open Sans" w:hAnsi="Open Sans" w:cs="Open Sans"/>
          <w:sz w:val="24"/>
          <w:szCs w:val="24"/>
        </w:rPr>
        <w:t>ї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гімназії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відбувається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згідно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Закону </w:t>
      </w:r>
      <w:proofErr w:type="spellStart"/>
      <w:proofErr w:type="gramStart"/>
      <w:r>
        <w:rPr>
          <w:rFonts w:ascii="Open Sans" w:eastAsia="Open Sans" w:hAnsi="Open Sans" w:cs="Open Sans"/>
          <w:color w:val="000000"/>
          <w:sz w:val="24"/>
          <w:szCs w:val="24"/>
        </w:rPr>
        <w:t>України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 «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Про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»</w:t>
      </w:r>
    </w:p>
    <w:p w14:paraId="00000007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(Документ 2145-19, </w:t>
      </w:r>
      <w:proofErr w:type="spellStart"/>
      <w:proofErr w:type="gramStart"/>
      <w:r>
        <w:rPr>
          <w:rFonts w:ascii="Open Sans" w:eastAsia="Open Sans" w:hAnsi="Open Sans" w:cs="Open Sans"/>
          <w:color w:val="000000"/>
          <w:sz w:val="24"/>
          <w:szCs w:val="24"/>
        </w:rPr>
        <w:t>прийнятий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 05.09.2017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ВР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України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)</w:t>
      </w:r>
    </w:p>
    <w:p w14:paraId="00000008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 На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підставі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:</w:t>
      </w:r>
    </w:p>
    <w:p w14:paraId="00000009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>Розділ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 xml:space="preserve"> II</w:t>
      </w:r>
    </w:p>
    <w:p w14:paraId="0000000A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Стаття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12. 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Повна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загальна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середня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освіта</w:t>
      </w:r>
      <w:proofErr w:type="spellEnd"/>
    </w:p>
    <w:p w14:paraId="0000000B" w14:textId="77777777" w:rsidR="00FC536F" w:rsidRDefault="00D74463">
      <w:pPr>
        <w:numPr>
          <w:ilvl w:val="0"/>
          <w:numId w:val="5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Початкова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здобувається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як правило, з шести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років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яким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на початок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навчального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року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виповнилося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сім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років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повинні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розпочинати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початкової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цього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ж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навчального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року.</w:t>
      </w:r>
    </w:p>
    <w:p w14:paraId="0000000C" w14:textId="77777777" w:rsidR="00FC536F" w:rsidRDefault="00D74463">
      <w:pPr>
        <w:numPr>
          <w:ilvl w:val="0"/>
          <w:numId w:val="5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Особи з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особливими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</w:t>
      </w:r>
      <w:r>
        <w:rPr>
          <w:rFonts w:ascii="Open Sans" w:eastAsia="Open Sans" w:hAnsi="Open Sans" w:cs="Open Sans"/>
          <w:color w:val="000000"/>
          <w:sz w:val="24"/>
          <w:szCs w:val="24"/>
        </w:rPr>
        <w:t>ітніми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потребами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можуть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розпочинати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початкової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іншого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віку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тривалість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ними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початкової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базової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може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бути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подовжена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доповненням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програми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корекційно-розвитковим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складником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Особливості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так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ими особами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повної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визначаються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спеціальним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законом.</w:t>
      </w:r>
    </w:p>
    <w:p w14:paraId="0000000D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Стаття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13. 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Територіальна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доступність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повної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освіти</w:t>
      </w:r>
      <w:proofErr w:type="spellEnd"/>
    </w:p>
    <w:p w14:paraId="0000000E" w14:textId="77777777" w:rsidR="00FC536F" w:rsidRDefault="00D74463">
      <w:pPr>
        <w:numPr>
          <w:ilvl w:val="0"/>
          <w:numId w:val="6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Для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забезпечення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територіальної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доступності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повної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органи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місцевого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самоврядув</w:t>
      </w:r>
      <w:r>
        <w:rPr>
          <w:rFonts w:ascii="Open Sans" w:eastAsia="Open Sans" w:hAnsi="Open Sans" w:cs="Open Sans"/>
          <w:color w:val="000000"/>
          <w:sz w:val="24"/>
          <w:szCs w:val="24"/>
        </w:rPr>
        <w:t>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створюють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і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утримують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мережу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їхніх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філій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0F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Кожна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особа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має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право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здобувати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початкову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базову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середню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в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його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філії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),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що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найбільш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доступний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наближений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місця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проживання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особи.</w:t>
      </w:r>
    </w:p>
    <w:p w14:paraId="00000010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Право особи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здобувати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початко</w:t>
      </w:r>
      <w:r>
        <w:rPr>
          <w:rFonts w:ascii="Open Sans" w:eastAsia="Open Sans" w:hAnsi="Open Sans" w:cs="Open Sans"/>
          <w:color w:val="000000"/>
          <w:sz w:val="24"/>
          <w:szCs w:val="24"/>
        </w:rPr>
        <w:t>ву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базову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середню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у державному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або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комунальному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його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філії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), за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яким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закріплена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територія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обслуговування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на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якій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проживає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ця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особа,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гарантується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що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не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обмежує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право особи обрати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інший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заклад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11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>Розділ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 xml:space="preserve"> ІІІ</w:t>
      </w:r>
    </w:p>
    <w:p w14:paraId="00000012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</w:p>
    <w:p w14:paraId="00000013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Стаття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18. 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Зарахування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учнів</w:t>
      </w:r>
      <w:proofErr w:type="spellEnd"/>
    </w:p>
    <w:p w14:paraId="00000014" w14:textId="77777777" w:rsidR="00FC536F" w:rsidRDefault="00D74463">
      <w:pPr>
        <w:numPr>
          <w:ilvl w:val="0"/>
          <w:numId w:val="7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Місцеві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органи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виконавчої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влади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або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органи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місцевого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самоврядування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закріплюють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 закладами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відповідні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території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обслуговування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і </w:t>
      </w:r>
      <w:proofErr w:type="gramStart"/>
      <w:r>
        <w:rPr>
          <w:rFonts w:ascii="Open Sans" w:eastAsia="Open Sans" w:hAnsi="Open Sans" w:cs="Open Sans"/>
          <w:color w:val="000000"/>
          <w:sz w:val="24"/>
          <w:szCs w:val="24"/>
        </w:rPr>
        <w:t>до початку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навчального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року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обліковують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які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мають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їх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відвідува</w:t>
      </w:r>
      <w:r>
        <w:rPr>
          <w:rFonts w:ascii="Open Sans" w:eastAsia="Open Sans" w:hAnsi="Open Sans" w:cs="Open Sans"/>
          <w:color w:val="000000"/>
          <w:sz w:val="24"/>
          <w:szCs w:val="24"/>
        </w:rPr>
        <w:t>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15" w14:textId="77777777" w:rsidR="00FC536F" w:rsidRDefault="00D74463">
      <w:pPr>
        <w:numPr>
          <w:ilvl w:val="0"/>
          <w:numId w:val="7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gramStart"/>
      <w:r>
        <w:rPr>
          <w:rFonts w:ascii="Open Sans" w:eastAsia="Open Sans" w:hAnsi="Open Sans" w:cs="Open Sans"/>
          <w:color w:val="000000"/>
          <w:sz w:val="24"/>
          <w:szCs w:val="24"/>
        </w:rPr>
        <w:t>до закладу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проводиться наказом директора,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що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видається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на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підставі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заяви,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копії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свідоцтва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народження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lastRenderedPageBreak/>
        <w:t>дитини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за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наявності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медичної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довідки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встановленого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зразка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і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відповідного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документа про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крім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</w:t>
      </w:r>
      <w:r>
        <w:rPr>
          <w:rFonts w:ascii="Open Sans" w:eastAsia="Open Sans" w:hAnsi="Open Sans" w:cs="Open Sans"/>
          <w:color w:val="000000"/>
          <w:sz w:val="24"/>
          <w:szCs w:val="24"/>
        </w:rPr>
        <w:t>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першого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класу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).</w:t>
      </w:r>
    </w:p>
    <w:p w14:paraId="00000016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{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Частина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друга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статті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18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із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змінами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внесеними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згідно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із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Законом </w:t>
      </w:r>
      <w:hyperlink r:id="rId6" w:anchor="n1346"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№ 2145-VIII </w:t>
        </w:r>
        <w:proofErr w:type="spellStart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>від</w:t>
        </w:r>
        <w:proofErr w:type="spellEnd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 05.09.2017</w:t>
        </w:r>
      </w:hyperlink>
      <w:r>
        <w:rPr>
          <w:rFonts w:ascii="Open Sans" w:eastAsia="Open Sans" w:hAnsi="Open Sans" w:cs="Open Sans"/>
          <w:i/>
          <w:color w:val="000000"/>
          <w:sz w:val="24"/>
          <w:szCs w:val="24"/>
        </w:rPr>
        <w:t>}</w:t>
      </w:r>
    </w:p>
    <w:p w14:paraId="00000017" w14:textId="77777777" w:rsidR="00FC536F" w:rsidRDefault="00D74463">
      <w:pPr>
        <w:numPr>
          <w:ilvl w:val="0"/>
          <w:numId w:val="1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Порядок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переведення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державних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комунальних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для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повної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затверджується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центральним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органом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виконавчої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влади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що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забезпечує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формування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реалізує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державну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політику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сфері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18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Порядок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відрахування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переведення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приватних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і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корпоративних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для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здобуття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повної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визначається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засновником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засновниками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).</w:t>
      </w:r>
    </w:p>
    <w:p w14:paraId="00000019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{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Частина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третя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статті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18 в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редакції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Закону </w:t>
      </w:r>
      <w:hyperlink r:id="rId7" w:anchor="n1347"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№ 2145-VIII </w:t>
        </w:r>
        <w:proofErr w:type="spellStart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>від</w:t>
        </w:r>
        <w:proofErr w:type="spellEnd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 05.09.2017</w:t>
        </w:r>
      </w:hyperlink>
      <w:r>
        <w:rPr>
          <w:rFonts w:ascii="Open Sans" w:eastAsia="Open Sans" w:hAnsi="Open Sans" w:cs="Open Sans"/>
          <w:i/>
          <w:color w:val="000000"/>
          <w:sz w:val="24"/>
          <w:szCs w:val="24"/>
        </w:rPr>
        <w:t>}</w:t>
      </w:r>
    </w:p>
    <w:p w14:paraId="0000001E" w14:textId="5FCB4CDB" w:rsidR="00FC536F" w:rsidRPr="00D74463" w:rsidRDefault="00D74463" w:rsidP="00D74463">
      <w:pPr>
        <w:pStyle w:val="a9"/>
        <w:numPr>
          <w:ilvl w:val="0"/>
          <w:numId w:val="1"/>
        </w:num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D74463">
        <w:rPr>
          <w:rFonts w:asciiTheme="minorHAnsi" w:eastAsia="Open Sans" w:hAnsiTheme="minorHAnsi" w:cs="Open Sans"/>
          <w:color w:val="000000"/>
          <w:sz w:val="24"/>
          <w:szCs w:val="24"/>
          <w:lang w:val="uk-UA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інших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дозволяється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на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конкурсних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засадах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лише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у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випадках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якщо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кількість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пода</w:t>
      </w:r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них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заяв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на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відповідний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рівень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перевищує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спроможність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цього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закладу. Право на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першочергове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початкової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школи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мають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діти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які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проживають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на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території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обслуговування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цієї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школи</w:t>
      </w:r>
      <w:proofErr w:type="spellEnd"/>
      <w:r w:rsidRPr="00D74463"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1F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{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Статтю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18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доповнено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частиною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7 на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підс</w:t>
      </w:r>
      <w:r>
        <w:rPr>
          <w:rFonts w:ascii="Open Sans" w:eastAsia="Open Sans" w:hAnsi="Open Sans" w:cs="Open Sans"/>
          <w:i/>
          <w:color w:val="000000"/>
          <w:sz w:val="24"/>
          <w:szCs w:val="24"/>
        </w:rPr>
        <w:t>таві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Закону </w:t>
      </w:r>
      <w:hyperlink r:id="rId8"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№ 3701-VI </w:t>
        </w:r>
        <w:proofErr w:type="spellStart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>від</w:t>
        </w:r>
        <w:proofErr w:type="spellEnd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 06.09.2011</w:t>
        </w:r>
      </w:hyperlink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; в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редакції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Закону </w:t>
      </w:r>
      <w:hyperlink r:id="rId9" w:anchor="n1352"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№ 2145-VIII </w:t>
        </w:r>
        <w:proofErr w:type="spellStart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>від</w:t>
        </w:r>
        <w:proofErr w:type="spellEnd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 05.09.2017</w:t>
        </w:r>
      </w:hyperlink>
      <w:r>
        <w:rPr>
          <w:rFonts w:ascii="Open Sans" w:eastAsia="Open Sans" w:hAnsi="Open Sans" w:cs="Open Sans"/>
          <w:i/>
          <w:color w:val="000000"/>
          <w:sz w:val="24"/>
          <w:szCs w:val="24"/>
        </w:rPr>
        <w:t>}</w:t>
      </w:r>
    </w:p>
    <w:p w14:paraId="00000020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</w:p>
    <w:p w14:paraId="00000021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Стаття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20. 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Учень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b/>
          <w:color w:val="000000"/>
          <w:sz w:val="24"/>
          <w:szCs w:val="24"/>
        </w:rPr>
        <w:t>вихованець</w:t>
      </w:r>
      <w:proofErr w:type="spellEnd"/>
      <w:r>
        <w:rPr>
          <w:rFonts w:ascii="Open Sans" w:eastAsia="Open Sans" w:hAnsi="Open Sans" w:cs="Open Sans"/>
          <w:b/>
          <w:color w:val="000000"/>
          <w:sz w:val="24"/>
          <w:szCs w:val="24"/>
        </w:rPr>
        <w:t>)</w:t>
      </w:r>
    </w:p>
    <w:p w14:paraId="00000022" w14:textId="77777777" w:rsidR="00FC536F" w:rsidRDefault="00D74463">
      <w:pPr>
        <w:numPr>
          <w:ilvl w:val="0"/>
          <w:numId w:val="4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Учень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вихованець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) – особа, яка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навчається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і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виховується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в одному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із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Зарахування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до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закладів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здійснюється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як правило, з 6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років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.</w:t>
      </w:r>
    </w:p>
    <w:p w14:paraId="00000023" w14:textId="77777777" w:rsidR="00FC536F" w:rsidRDefault="00D74463">
      <w:pPr>
        <w:numPr>
          <w:ilvl w:val="0"/>
          <w:numId w:val="4"/>
        </w:numPr>
        <w:spacing w:after="0" w:line="240" w:lineRule="auto"/>
        <w:ind w:left="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Статус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учнів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вихованців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) 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як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учасників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освітнього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процесу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у закладах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загальної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середньої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їх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права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обов’язки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визначаються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10">
        <w:r>
          <w:rPr>
            <w:rFonts w:ascii="Open Sans" w:eastAsia="Open Sans" w:hAnsi="Open Sans" w:cs="Open Sans"/>
            <w:color w:val="F27C7E"/>
            <w:sz w:val="24"/>
            <w:szCs w:val="24"/>
          </w:rPr>
          <w:t xml:space="preserve">Законом </w:t>
        </w:r>
        <w:proofErr w:type="spellStart"/>
        <w:r>
          <w:rPr>
            <w:rFonts w:ascii="Open Sans" w:eastAsia="Open Sans" w:hAnsi="Open Sans" w:cs="Open Sans"/>
            <w:color w:val="F27C7E"/>
            <w:sz w:val="24"/>
            <w:szCs w:val="24"/>
          </w:rPr>
          <w:t>України</w:t>
        </w:r>
      </w:hyperlink>
      <w:r>
        <w:rPr>
          <w:rFonts w:ascii="Open Sans" w:eastAsia="Open Sans" w:hAnsi="Open Sans" w:cs="Open Sans"/>
          <w:color w:val="000000"/>
          <w:sz w:val="24"/>
          <w:szCs w:val="24"/>
        </w:rPr>
        <w:t>“Про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освіту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”,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цим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Законом та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іншими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нормативно-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правовими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актами.</w:t>
      </w:r>
    </w:p>
    <w:p w14:paraId="00000024" w14:textId="77777777" w:rsidR="00FC536F" w:rsidRDefault="00D74463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{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Частин</w:t>
      </w:r>
      <w:r>
        <w:rPr>
          <w:rFonts w:ascii="Open Sans" w:eastAsia="Open Sans" w:hAnsi="Open Sans" w:cs="Open Sans"/>
          <w:i/>
          <w:color w:val="000000"/>
          <w:sz w:val="24"/>
          <w:szCs w:val="24"/>
        </w:rPr>
        <w:t>а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друга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статті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20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із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змінами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внесеними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згідно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000000"/>
          <w:sz w:val="24"/>
          <w:szCs w:val="24"/>
        </w:rPr>
        <w:t>із</w:t>
      </w:r>
      <w:proofErr w:type="spellEnd"/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Законом </w:t>
      </w:r>
      <w:hyperlink r:id="rId11" w:anchor="n1355"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№ 2145-VIII </w:t>
        </w:r>
        <w:proofErr w:type="spellStart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>від</w:t>
        </w:r>
        <w:proofErr w:type="spellEnd"/>
        <w:r>
          <w:rPr>
            <w:rFonts w:ascii="Open Sans" w:eastAsia="Open Sans" w:hAnsi="Open Sans" w:cs="Open Sans"/>
            <w:i/>
            <w:color w:val="F27C7E"/>
            <w:sz w:val="24"/>
            <w:szCs w:val="24"/>
          </w:rPr>
          <w:t xml:space="preserve"> 05.09.2017</w:t>
        </w:r>
      </w:hyperlink>
      <w:r>
        <w:rPr>
          <w:rFonts w:ascii="Open Sans" w:eastAsia="Open Sans" w:hAnsi="Open Sans" w:cs="Open Sans"/>
          <w:i/>
          <w:color w:val="000000"/>
          <w:sz w:val="24"/>
          <w:szCs w:val="24"/>
        </w:rPr>
        <w:t>}</w:t>
      </w:r>
    </w:p>
    <w:p w14:paraId="00000025" w14:textId="77777777" w:rsidR="00FC536F" w:rsidRDefault="00D74463">
      <w:pPr>
        <w:spacing w:after="15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</w:p>
    <w:p w14:paraId="00000026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7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8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9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A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B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2C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34" w14:textId="77777777" w:rsidR="00FC536F" w:rsidRDefault="00FC536F" w:rsidP="00D74463">
      <w:pPr>
        <w:spacing w:after="0" w:line="240" w:lineRule="auto"/>
        <w:rPr>
          <w:b/>
          <w:color w:val="2E4371"/>
          <w:sz w:val="36"/>
          <w:szCs w:val="36"/>
        </w:rPr>
      </w:pPr>
      <w:bookmarkStart w:id="0" w:name="_GoBack"/>
      <w:bookmarkEnd w:id="0"/>
    </w:p>
    <w:p w14:paraId="00000035" w14:textId="418D820A" w:rsidR="00FC536F" w:rsidRDefault="00D74463">
      <w:pPr>
        <w:spacing w:after="0" w:line="240" w:lineRule="auto"/>
        <w:jc w:val="center"/>
        <w:rPr>
          <w:b/>
          <w:color w:val="2E4371"/>
          <w:sz w:val="36"/>
          <w:szCs w:val="36"/>
        </w:rPr>
      </w:pPr>
      <w:proofErr w:type="spellStart"/>
      <w:r>
        <w:rPr>
          <w:rFonts w:ascii="Helvetica Neue" w:eastAsia="Helvetica Neue" w:hAnsi="Helvetica Neue" w:cs="Helvetica Neue"/>
          <w:b/>
          <w:color w:val="2E4371"/>
          <w:sz w:val="36"/>
          <w:szCs w:val="36"/>
        </w:rPr>
        <w:lastRenderedPageBreak/>
        <w:t>Витяг</w:t>
      </w:r>
      <w:proofErr w:type="spellEnd"/>
      <w:r>
        <w:rPr>
          <w:rFonts w:ascii="Helvetica Neue" w:eastAsia="Helvetica Neue" w:hAnsi="Helvetica Neue" w:cs="Helvetica Neue"/>
          <w:b/>
          <w:color w:val="2E4371"/>
          <w:sz w:val="36"/>
          <w:szCs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E4371"/>
          <w:sz w:val="36"/>
          <w:szCs w:val="36"/>
        </w:rPr>
        <w:t>з</w:t>
      </w:r>
      <w:r>
        <w:rPr>
          <w:b/>
          <w:color w:val="2E4371"/>
          <w:sz w:val="36"/>
          <w:szCs w:val="36"/>
        </w:rPr>
        <w:t>і</w:t>
      </w:r>
      <w:proofErr w:type="spellEnd"/>
      <w:r>
        <w:rPr>
          <w:rFonts w:ascii="Helvetica Neue" w:eastAsia="Helvetica Neue" w:hAnsi="Helvetica Neue" w:cs="Helvetica Neue"/>
          <w:b/>
          <w:color w:val="2E4371"/>
          <w:sz w:val="36"/>
          <w:szCs w:val="36"/>
        </w:rPr>
        <w:t xml:space="preserve"> Статуту </w:t>
      </w:r>
      <w:proofErr w:type="spellStart"/>
      <w:r>
        <w:rPr>
          <w:b/>
          <w:color w:val="2E4371"/>
          <w:sz w:val="36"/>
          <w:szCs w:val="36"/>
        </w:rPr>
        <w:t>Рингацько</w:t>
      </w:r>
      <w:proofErr w:type="spellEnd"/>
      <w:r>
        <w:rPr>
          <w:b/>
          <w:color w:val="2E4371"/>
          <w:sz w:val="36"/>
          <w:szCs w:val="36"/>
          <w:lang w:val="uk-UA"/>
        </w:rPr>
        <w:t>ї гімназії</w:t>
      </w:r>
    </w:p>
    <w:p w14:paraId="00000036" w14:textId="77777777" w:rsidR="00FC536F" w:rsidRDefault="00FC536F">
      <w:pPr>
        <w:spacing w:after="0" w:line="240" w:lineRule="auto"/>
        <w:jc w:val="center"/>
        <w:rPr>
          <w:b/>
          <w:color w:val="2E4371"/>
          <w:sz w:val="36"/>
          <w:szCs w:val="36"/>
        </w:rPr>
      </w:pPr>
    </w:p>
    <w:p w14:paraId="00000037" w14:textId="77777777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ІІ.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навчально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виховного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процесу</w:t>
      </w:r>
      <w:proofErr w:type="spellEnd"/>
    </w:p>
    <w:p w14:paraId="00000038" w14:textId="18C9FE36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вихованців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) до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 xml:space="preserve">ї гімназії 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відрахування</w:t>
      </w:r>
      <w:proofErr w:type="spellEnd"/>
    </w:p>
    <w:p w14:paraId="00000039" w14:textId="4DBAF6E8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3.1. 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Новоселицької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ради   за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Рингацьк</w:t>
      </w:r>
      <w:r>
        <w:rPr>
          <w:rFonts w:ascii="Times New Roman" w:eastAsia="Times New Roman" w:hAnsi="Times New Roman" w:cs="Times New Roman"/>
          <w:color w:val="010118"/>
          <w:sz w:val="27"/>
          <w:szCs w:val="27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  <w:lang w:val="uk-UA"/>
        </w:rPr>
        <w:t xml:space="preserve"> гімназією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закріплюється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територія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і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навча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льного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беруться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відвідувати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нормативно-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правових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актів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A" w14:textId="09E93A39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3.2.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вихованців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)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  <w:lang w:val="uk-UA"/>
        </w:rPr>
        <w:t xml:space="preserve">ї гімназії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конкурсу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 ,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як правило,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відп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овідно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B" w14:textId="632F5FB8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3.3.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Керівник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>ї гімназії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зобов'язаний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вжити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або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замінюють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з порядком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 закладу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Статутом, Правилами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розпорядку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іншими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докум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ентами,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що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регламентують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навчально-виховного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C" w14:textId="11612E7D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3.4. 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 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>ї гімназії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як правило,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 початку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року за наказом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D" w14:textId="6D52709C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3.5.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 Для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 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 xml:space="preserve">ї 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>імназії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батьки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або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замінюють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подають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копію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свідоцтва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медичну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довідку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встановленого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зразка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особову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справу (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вступають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.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ласу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зараховуються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з 6-7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E" w14:textId="7FA0C293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3.6.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Іноземні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громадяни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та особи без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громадянства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зарахову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  <w:lang w:val="uk-UA"/>
        </w:rPr>
        <w:t>ю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 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 xml:space="preserve">ї 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>імназії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3F" w14:textId="569D540B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3.7.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Переведення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вихованців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Рингацько</w:t>
      </w:r>
      <w:proofErr w:type="spellEnd"/>
      <w:r>
        <w:rPr>
          <w:rFonts w:ascii="Times New Roman" w:eastAsia="Times New Roman" w:hAnsi="Times New Roman" w:cs="Times New Roman"/>
          <w:b/>
          <w:color w:val="010118"/>
          <w:sz w:val="27"/>
          <w:szCs w:val="27"/>
          <w:lang w:val="uk-UA"/>
        </w:rPr>
        <w:t>ї гімназії</w:t>
      </w: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наступного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 п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орядку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встановленому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підпорядкування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40" w14:textId="77777777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вибуття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населеного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пункту батьки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або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замінюють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подають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 закладу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із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причини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вибуття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p w14:paraId="00000041" w14:textId="77777777" w:rsidR="00FC536F" w:rsidRDefault="00D74463">
      <w:pPr>
        <w:spacing w:after="0" w:line="240" w:lineRule="auto"/>
        <w:rPr>
          <w:rFonts w:ascii="Times New Roman" w:eastAsia="Times New Roman" w:hAnsi="Times New Roman" w:cs="Times New Roman"/>
          <w:color w:val="010118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переходу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закладу для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зд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обуття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батьки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або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замінюють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подають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 закладу</w:t>
      </w:r>
      <w:proofErr w:type="gram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із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причини переходу та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довідку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що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факт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закладу.</w:t>
      </w:r>
    </w:p>
    <w:p w14:paraId="00000044" w14:textId="58E42D57" w:rsidR="00FC536F" w:rsidRDefault="00D74463" w:rsidP="00D74463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10118"/>
          <w:sz w:val="27"/>
          <w:szCs w:val="27"/>
        </w:rPr>
        <w:t>3.8.</w:t>
      </w:r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вихованців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дошкільний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підрозділ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заяви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або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які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замінюють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копії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свідоцтва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довідки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встановленого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зразка</w:t>
      </w:r>
      <w:proofErr w:type="spellEnd"/>
      <w:r>
        <w:rPr>
          <w:rFonts w:ascii="Times New Roman" w:eastAsia="Times New Roman" w:hAnsi="Times New Roman" w:cs="Times New Roman"/>
          <w:color w:val="010118"/>
          <w:sz w:val="27"/>
          <w:szCs w:val="27"/>
        </w:rPr>
        <w:t>.</w:t>
      </w:r>
    </w:p>
    <w:sectPr w:rsidR="00FC536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8E9"/>
    <w:multiLevelType w:val="multilevel"/>
    <w:tmpl w:val="B7B64E1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4047F2E"/>
    <w:multiLevelType w:val="multilevel"/>
    <w:tmpl w:val="C052BC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B1368AB"/>
    <w:multiLevelType w:val="multilevel"/>
    <w:tmpl w:val="6FFC732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CD4183E"/>
    <w:multiLevelType w:val="multilevel"/>
    <w:tmpl w:val="918AE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F12894"/>
    <w:multiLevelType w:val="multilevel"/>
    <w:tmpl w:val="FC4A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43081E"/>
    <w:multiLevelType w:val="multilevel"/>
    <w:tmpl w:val="12A46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A752963"/>
    <w:multiLevelType w:val="multilevel"/>
    <w:tmpl w:val="CBD083C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6F"/>
    <w:rsid w:val="00D74463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EE64"/>
  <w15:docId w15:val="{87AB3CBF-6327-4318-A613-58BFF70C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EE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DB3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DB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346B"/>
    <w:rPr>
      <w:b/>
      <w:bCs/>
    </w:rPr>
  </w:style>
  <w:style w:type="character" w:styleId="a6">
    <w:name w:val="Emphasis"/>
    <w:basedOn w:val="a0"/>
    <w:uiPriority w:val="20"/>
    <w:qFormat/>
    <w:rsid w:val="00DB346B"/>
    <w:rPr>
      <w:i/>
      <w:iCs/>
    </w:rPr>
  </w:style>
  <w:style w:type="character" w:styleId="a7">
    <w:name w:val="Hyperlink"/>
    <w:basedOn w:val="a0"/>
    <w:uiPriority w:val="99"/>
    <w:semiHidden/>
    <w:unhideWhenUsed/>
    <w:rsid w:val="00DB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3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D7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701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2145-19/paran134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2145-19/paran1346" TargetMode="External"/><Relationship Id="rId11" Type="http://schemas.openxmlformats.org/officeDocument/2006/relationships/hyperlink" Target="http://zakon2.rada.gov.ua/laws/show/2145-19/paran13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2145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145-19/paran1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G1j79LAHgWDRSry1CaYjzjZjw==">AMUW2mW+AqfEhyOW7npnQf8Arnu7lxWP4jGmcyjTsdxM1ufnUubr5ctlDr7cJIeJB8FzVf4HYj0llALVCfE9sTC2eZ5O8srhWDblw+fE8/Mr2bLldNkQvqk=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 Nazarko</cp:lastModifiedBy>
  <cp:revision>3</cp:revision>
  <dcterms:created xsi:type="dcterms:W3CDTF">2020-06-05T08:49:00Z</dcterms:created>
  <dcterms:modified xsi:type="dcterms:W3CDTF">2025-02-25T14:10:00Z</dcterms:modified>
</cp:coreProperties>
</file>