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50" w:line="240" w:lineRule="auto"/>
        <w:rPr>
          <w:rFonts w:ascii="Open Sans" w:cs="Open Sans" w:eastAsia="Open Sans" w:hAnsi="Open Sans"/>
          <w:color w:val="000000"/>
          <w:sz w:val="21"/>
          <w:szCs w:val="21"/>
        </w:rPr>
      </w:pPr>
      <w:r w:rsidDel="00000000" w:rsidR="00000000" w:rsidRPr="00000000">
        <w:rPr>
          <w:rtl w:val="0"/>
        </w:rPr>
      </w:r>
    </w:p>
    <w:p w:rsidR="00000000" w:rsidDel="00000000" w:rsidP="00000000" w:rsidRDefault="00000000" w:rsidRPr="00000000" w14:paraId="00000002">
      <w:pPr>
        <w:spacing w:after="0" w:line="240" w:lineRule="auto"/>
        <w:jc w:val="center"/>
        <w:rPr>
          <w:rFonts w:ascii="Open Sans" w:cs="Open Sans" w:eastAsia="Open Sans" w:hAnsi="Open Sans"/>
          <w:b w:val="1"/>
          <w:color w:val="000000"/>
          <w:sz w:val="28"/>
          <w:szCs w:val="28"/>
        </w:rPr>
      </w:pPr>
      <w:r w:rsidDel="00000000" w:rsidR="00000000" w:rsidRPr="00000000">
        <w:rPr>
          <w:rFonts w:ascii="Open Sans" w:cs="Open Sans" w:eastAsia="Open Sans" w:hAnsi="Open Sans"/>
          <w:b w:val="1"/>
          <w:color w:val="000000"/>
          <w:sz w:val="28"/>
          <w:szCs w:val="28"/>
          <w:rtl w:val="0"/>
        </w:rPr>
        <w:t xml:space="preserve">Правила прийому учнів</w:t>
      </w:r>
    </w:p>
    <w:p w:rsidR="00000000" w:rsidDel="00000000" w:rsidP="00000000" w:rsidRDefault="00000000" w:rsidRPr="00000000" w14:paraId="00000003">
      <w:pPr>
        <w:spacing w:after="0" w:line="240" w:lineRule="auto"/>
        <w:jc w:val="center"/>
        <w:rPr>
          <w:rFonts w:ascii="Open Sans" w:cs="Open Sans" w:eastAsia="Open Sans" w:hAnsi="Open Sans"/>
          <w:b w:val="1"/>
          <w:color w:val="000000"/>
          <w:sz w:val="28"/>
          <w:szCs w:val="28"/>
        </w:rPr>
      </w:pPr>
      <w:r w:rsidDel="00000000" w:rsidR="00000000" w:rsidRPr="00000000">
        <w:rPr>
          <w:rFonts w:ascii="Open Sans" w:cs="Open Sans" w:eastAsia="Open Sans" w:hAnsi="Open Sans"/>
          <w:b w:val="1"/>
          <w:color w:val="000000"/>
          <w:sz w:val="28"/>
          <w:szCs w:val="28"/>
          <w:rtl w:val="0"/>
        </w:rPr>
        <w:t xml:space="preserve">до Рингацько</w:t>
      </w:r>
      <w:r w:rsidDel="00000000" w:rsidR="00000000" w:rsidRPr="00000000">
        <w:rPr>
          <w:rFonts w:ascii="Open Sans" w:cs="Open Sans" w:eastAsia="Open Sans" w:hAnsi="Open Sans"/>
          <w:b w:val="1"/>
          <w:sz w:val="28"/>
          <w:szCs w:val="28"/>
          <w:rtl w:val="0"/>
        </w:rPr>
        <w:t xml:space="preserve">ї гімназії</w:t>
      </w:r>
      <w:r w:rsidDel="00000000" w:rsidR="00000000" w:rsidRPr="00000000">
        <w:rPr>
          <w:rtl w:val="0"/>
        </w:rPr>
      </w:r>
    </w:p>
    <w:p w:rsidR="00000000" w:rsidDel="00000000" w:rsidP="00000000" w:rsidRDefault="00000000" w:rsidRPr="00000000" w14:paraId="00000004">
      <w:pPr>
        <w:spacing w:after="0" w:line="240" w:lineRule="auto"/>
        <w:jc w:val="center"/>
        <w:rPr>
          <w:rFonts w:ascii="Open Sans" w:cs="Open Sans" w:eastAsia="Open Sans" w:hAnsi="Open Sans"/>
          <w:b w:val="1"/>
          <w:color w:val="000000"/>
          <w:sz w:val="28"/>
          <w:szCs w:val="28"/>
        </w:rPr>
      </w:pPr>
      <w:r w:rsidDel="00000000" w:rsidR="00000000" w:rsidRPr="00000000">
        <w:rPr>
          <w:rtl w:val="0"/>
        </w:rPr>
      </w:r>
    </w:p>
    <w:p w:rsidR="00000000" w:rsidDel="00000000" w:rsidP="00000000" w:rsidRDefault="00000000" w:rsidRPr="00000000" w14:paraId="00000005">
      <w:pPr>
        <w:spacing w:after="0" w:line="240" w:lineRule="auto"/>
        <w:jc w:val="center"/>
        <w:rPr>
          <w:rFonts w:ascii="Open Sans" w:cs="Open Sans" w:eastAsia="Open Sans" w:hAnsi="Open Sans"/>
          <w:b w:val="1"/>
          <w:color w:val="000000"/>
          <w:sz w:val="28"/>
          <w:szCs w:val="28"/>
        </w:rPr>
      </w:pPr>
      <w:r w:rsidDel="00000000" w:rsidR="00000000" w:rsidRPr="00000000">
        <w:rPr>
          <w:rtl w:val="0"/>
        </w:rPr>
      </w:r>
    </w:p>
    <w:p w:rsidR="00000000" w:rsidDel="00000000" w:rsidP="00000000" w:rsidRDefault="00000000" w:rsidRPr="00000000" w14:paraId="00000006">
      <w:pPr>
        <w:spacing w:after="0" w:line="240" w:lineRule="auto"/>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Прийом учнів до Рингацько</w:t>
      </w:r>
      <w:r w:rsidDel="00000000" w:rsidR="00000000" w:rsidRPr="00000000">
        <w:rPr>
          <w:rFonts w:ascii="Open Sans" w:cs="Open Sans" w:eastAsia="Open Sans" w:hAnsi="Open Sans"/>
          <w:sz w:val="24"/>
          <w:szCs w:val="24"/>
          <w:rtl w:val="0"/>
        </w:rPr>
        <w:t xml:space="preserve">ї гімназії</w:t>
      </w:r>
      <w:r w:rsidDel="00000000" w:rsidR="00000000" w:rsidRPr="00000000">
        <w:rPr>
          <w:rFonts w:ascii="Open Sans" w:cs="Open Sans" w:eastAsia="Open Sans" w:hAnsi="Open Sans"/>
          <w:color w:val="000000"/>
          <w:sz w:val="24"/>
          <w:szCs w:val="24"/>
          <w:rtl w:val="0"/>
        </w:rPr>
        <w:t xml:space="preserve"> відбувається згідно Закону України  «Про освіту»</w:t>
      </w:r>
    </w:p>
    <w:p w:rsidR="00000000" w:rsidDel="00000000" w:rsidP="00000000" w:rsidRDefault="00000000" w:rsidRPr="00000000" w14:paraId="00000007">
      <w:pPr>
        <w:spacing w:after="150" w:line="240" w:lineRule="auto"/>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(Документ 2145-19, прийнятий  05.09.2017 ВР України)</w:t>
      </w:r>
    </w:p>
    <w:p w:rsidR="00000000" w:rsidDel="00000000" w:rsidP="00000000" w:rsidRDefault="00000000" w:rsidRPr="00000000" w14:paraId="00000008">
      <w:pPr>
        <w:spacing w:after="150" w:line="240" w:lineRule="auto"/>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 На підставі:</w:t>
      </w:r>
    </w:p>
    <w:p w:rsidR="00000000" w:rsidDel="00000000" w:rsidP="00000000" w:rsidRDefault="00000000" w:rsidRPr="00000000" w14:paraId="00000009">
      <w:pPr>
        <w:spacing w:after="0" w:line="240" w:lineRule="auto"/>
        <w:rPr>
          <w:rFonts w:ascii="Open Sans" w:cs="Open Sans" w:eastAsia="Open Sans" w:hAnsi="Open Sans"/>
          <w:color w:val="000000"/>
          <w:sz w:val="24"/>
          <w:szCs w:val="24"/>
        </w:rPr>
      </w:pPr>
      <w:r w:rsidDel="00000000" w:rsidR="00000000" w:rsidRPr="00000000">
        <w:rPr>
          <w:rFonts w:ascii="Open Sans" w:cs="Open Sans" w:eastAsia="Open Sans" w:hAnsi="Open Sans"/>
          <w:b w:val="1"/>
          <w:color w:val="000000"/>
          <w:sz w:val="24"/>
          <w:szCs w:val="24"/>
          <w:u w:val="single"/>
          <w:rtl w:val="0"/>
        </w:rPr>
        <w:t xml:space="preserve">Розділ II</w:t>
      </w:r>
      <w:r w:rsidDel="00000000" w:rsidR="00000000" w:rsidRPr="00000000">
        <w:rPr>
          <w:rtl w:val="0"/>
        </w:rPr>
      </w:r>
    </w:p>
    <w:p w:rsidR="00000000" w:rsidDel="00000000" w:rsidP="00000000" w:rsidRDefault="00000000" w:rsidRPr="00000000" w14:paraId="0000000A">
      <w:pPr>
        <w:spacing w:after="0" w:line="240" w:lineRule="auto"/>
        <w:rPr>
          <w:rFonts w:ascii="Open Sans" w:cs="Open Sans" w:eastAsia="Open Sans" w:hAnsi="Open Sans"/>
          <w:color w:val="000000"/>
          <w:sz w:val="24"/>
          <w:szCs w:val="24"/>
        </w:rPr>
      </w:pPr>
      <w:r w:rsidDel="00000000" w:rsidR="00000000" w:rsidRPr="00000000">
        <w:rPr>
          <w:rFonts w:ascii="Open Sans" w:cs="Open Sans" w:eastAsia="Open Sans" w:hAnsi="Open Sans"/>
          <w:b w:val="1"/>
          <w:color w:val="000000"/>
          <w:sz w:val="24"/>
          <w:szCs w:val="24"/>
          <w:rtl w:val="0"/>
        </w:rPr>
        <w:t xml:space="preserve">Стаття 12. Повна загальна середня освіта</w:t>
      </w:r>
      <w:r w:rsidDel="00000000" w:rsidR="00000000" w:rsidRPr="00000000">
        <w:rPr>
          <w:rtl w:val="0"/>
        </w:rPr>
      </w:r>
    </w:p>
    <w:p w:rsidR="00000000" w:rsidDel="00000000" w:rsidP="00000000" w:rsidRDefault="00000000" w:rsidRPr="00000000" w14:paraId="0000000B">
      <w:pPr>
        <w:numPr>
          <w:ilvl w:val="0"/>
          <w:numId w:val="5"/>
        </w:numPr>
        <w:spacing w:after="0" w:line="240" w:lineRule="auto"/>
        <w:ind w:left="0" w:hanging="36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000000" w:rsidDel="00000000" w:rsidP="00000000" w:rsidRDefault="00000000" w:rsidRPr="00000000" w14:paraId="0000000C">
      <w:pPr>
        <w:numPr>
          <w:ilvl w:val="0"/>
          <w:numId w:val="5"/>
        </w:numPr>
        <w:spacing w:after="0" w:line="240" w:lineRule="auto"/>
        <w:ind w:left="0" w:hanging="36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 Особливості здобуття такими особами повної загальної середньої освіти визначаються спеціальним законом.</w:t>
      </w:r>
    </w:p>
    <w:p w:rsidR="00000000" w:rsidDel="00000000" w:rsidP="00000000" w:rsidRDefault="00000000" w:rsidRPr="00000000" w14:paraId="0000000D">
      <w:pPr>
        <w:spacing w:after="0" w:line="240" w:lineRule="auto"/>
        <w:rPr>
          <w:rFonts w:ascii="Open Sans" w:cs="Open Sans" w:eastAsia="Open Sans" w:hAnsi="Open Sans"/>
          <w:color w:val="000000"/>
          <w:sz w:val="24"/>
          <w:szCs w:val="24"/>
        </w:rPr>
      </w:pPr>
      <w:r w:rsidDel="00000000" w:rsidR="00000000" w:rsidRPr="00000000">
        <w:rPr>
          <w:rFonts w:ascii="Open Sans" w:cs="Open Sans" w:eastAsia="Open Sans" w:hAnsi="Open Sans"/>
          <w:b w:val="1"/>
          <w:color w:val="000000"/>
          <w:sz w:val="24"/>
          <w:szCs w:val="24"/>
          <w:rtl w:val="0"/>
        </w:rPr>
        <w:t xml:space="preserve">Стаття 13. Територіальна доступність повної загальної середньої освіти</w:t>
      </w:r>
      <w:r w:rsidDel="00000000" w:rsidR="00000000" w:rsidRPr="00000000">
        <w:rPr>
          <w:rtl w:val="0"/>
        </w:rPr>
      </w:r>
    </w:p>
    <w:p w:rsidR="00000000" w:rsidDel="00000000" w:rsidP="00000000" w:rsidRDefault="00000000" w:rsidRPr="00000000" w14:paraId="0000000E">
      <w:pPr>
        <w:numPr>
          <w:ilvl w:val="0"/>
          <w:numId w:val="6"/>
        </w:numPr>
        <w:spacing w:after="0" w:line="240" w:lineRule="auto"/>
        <w:ind w:left="0" w:hanging="36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000000" w:rsidDel="00000000" w:rsidP="00000000" w:rsidRDefault="00000000" w:rsidRPr="00000000" w14:paraId="0000000F">
      <w:pPr>
        <w:spacing w:after="150" w:line="240" w:lineRule="auto"/>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000000" w:rsidDel="00000000" w:rsidP="00000000" w:rsidRDefault="00000000" w:rsidRPr="00000000" w14:paraId="00000010">
      <w:pPr>
        <w:spacing w:after="150" w:line="240" w:lineRule="auto"/>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p w:rsidR="00000000" w:rsidDel="00000000" w:rsidP="00000000" w:rsidRDefault="00000000" w:rsidRPr="00000000" w14:paraId="00000011">
      <w:pPr>
        <w:spacing w:after="0" w:line="240" w:lineRule="auto"/>
        <w:rPr>
          <w:rFonts w:ascii="Open Sans" w:cs="Open Sans" w:eastAsia="Open Sans" w:hAnsi="Open Sans"/>
          <w:color w:val="000000"/>
          <w:sz w:val="24"/>
          <w:szCs w:val="24"/>
        </w:rPr>
      </w:pPr>
      <w:r w:rsidDel="00000000" w:rsidR="00000000" w:rsidRPr="00000000">
        <w:rPr>
          <w:rFonts w:ascii="Open Sans" w:cs="Open Sans" w:eastAsia="Open Sans" w:hAnsi="Open Sans"/>
          <w:b w:val="1"/>
          <w:color w:val="000000"/>
          <w:sz w:val="24"/>
          <w:szCs w:val="24"/>
          <w:u w:val="single"/>
          <w:rtl w:val="0"/>
        </w:rPr>
        <w:t xml:space="preserve">Розділ ІІІ</w:t>
      </w:r>
      <w:r w:rsidDel="00000000" w:rsidR="00000000" w:rsidRPr="00000000">
        <w:rPr>
          <w:rtl w:val="0"/>
        </w:rPr>
      </w:r>
    </w:p>
    <w:p w:rsidR="00000000" w:rsidDel="00000000" w:rsidP="00000000" w:rsidRDefault="00000000" w:rsidRPr="00000000" w14:paraId="00000012">
      <w:pPr>
        <w:spacing w:after="0" w:line="240" w:lineRule="auto"/>
        <w:rPr>
          <w:rFonts w:ascii="Open Sans" w:cs="Open Sans" w:eastAsia="Open Sans" w:hAnsi="Open Sans"/>
          <w:color w:val="000000"/>
          <w:sz w:val="24"/>
          <w:szCs w:val="24"/>
        </w:rPr>
      </w:pPr>
      <w:r w:rsidDel="00000000" w:rsidR="00000000" w:rsidRPr="00000000">
        <w:rPr>
          <w:rFonts w:ascii="Open Sans" w:cs="Open Sans" w:eastAsia="Open Sans" w:hAnsi="Open Sans"/>
          <w:b w:val="1"/>
          <w:color w:val="000000"/>
          <w:sz w:val="24"/>
          <w:szCs w:val="24"/>
          <w:rtl w:val="0"/>
        </w:rPr>
        <w:t xml:space="preserve"> </w:t>
      </w:r>
      <w:r w:rsidDel="00000000" w:rsidR="00000000" w:rsidRPr="00000000">
        <w:rPr>
          <w:rtl w:val="0"/>
        </w:rPr>
      </w:r>
    </w:p>
    <w:p w:rsidR="00000000" w:rsidDel="00000000" w:rsidP="00000000" w:rsidRDefault="00000000" w:rsidRPr="00000000" w14:paraId="00000013">
      <w:pPr>
        <w:spacing w:after="0" w:line="240" w:lineRule="auto"/>
        <w:rPr>
          <w:rFonts w:ascii="Open Sans" w:cs="Open Sans" w:eastAsia="Open Sans" w:hAnsi="Open Sans"/>
          <w:color w:val="000000"/>
          <w:sz w:val="24"/>
          <w:szCs w:val="24"/>
        </w:rPr>
      </w:pPr>
      <w:r w:rsidDel="00000000" w:rsidR="00000000" w:rsidRPr="00000000">
        <w:rPr>
          <w:rFonts w:ascii="Open Sans" w:cs="Open Sans" w:eastAsia="Open Sans" w:hAnsi="Open Sans"/>
          <w:b w:val="1"/>
          <w:color w:val="000000"/>
          <w:sz w:val="24"/>
          <w:szCs w:val="24"/>
          <w:rtl w:val="0"/>
        </w:rPr>
        <w:t xml:space="preserve">Стаття 18. Зарахування учнів</w:t>
      </w:r>
      <w:r w:rsidDel="00000000" w:rsidR="00000000" w:rsidRPr="00000000">
        <w:rPr>
          <w:rtl w:val="0"/>
        </w:rPr>
      </w:r>
    </w:p>
    <w:p w:rsidR="00000000" w:rsidDel="00000000" w:rsidP="00000000" w:rsidRDefault="00000000" w:rsidRPr="00000000" w14:paraId="00000014">
      <w:pPr>
        <w:numPr>
          <w:ilvl w:val="0"/>
          <w:numId w:val="7"/>
        </w:numPr>
        <w:spacing w:after="0" w:line="240" w:lineRule="auto"/>
        <w:ind w:left="0" w:hanging="36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Місцеві органи виконавчої влади або органи місцевого самоврядування закріплюють за закладами загальної середньої освіти відповідні території обслуговування і до початку навчального року обліковують учнів, які мають їх відвідувати.</w:t>
      </w:r>
    </w:p>
    <w:p w:rsidR="00000000" w:rsidDel="00000000" w:rsidP="00000000" w:rsidRDefault="00000000" w:rsidRPr="00000000" w14:paraId="00000015">
      <w:pPr>
        <w:numPr>
          <w:ilvl w:val="0"/>
          <w:numId w:val="7"/>
        </w:numPr>
        <w:spacing w:after="0" w:line="240" w:lineRule="auto"/>
        <w:ind w:left="0" w:hanging="36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Зарахування учнів до закладу загальної середньої освіти проводиться наказом директора, що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w:t>
      </w:r>
    </w:p>
    <w:p w:rsidR="00000000" w:rsidDel="00000000" w:rsidP="00000000" w:rsidRDefault="00000000" w:rsidRPr="00000000" w14:paraId="00000016">
      <w:pPr>
        <w:spacing w:after="0" w:line="240" w:lineRule="auto"/>
        <w:rPr>
          <w:rFonts w:ascii="Open Sans" w:cs="Open Sans" w:eastAsia="Open Sans" w:hAnsi="Open Sans"/>
          <w:color w:val="000000"/>
          <w:sz w:val="24"/>
          <w:szCs w:val="24"/>
        </w:rPr>
      </w:pPr>
      <w:r w:rsidDel="00000000" w:rsidR="00000000" w:rsidRPr="00000000">
        <w:rPr>
          <w:rFonts w:ascii="Open Sans" w:cs="Open Sans" w:eastAsia="Open Sans" w:hAnsi="Open Sans"/>
          <w:i w:val="1"/>
          <w:color w:val="000000"/>
          <w:sz w:val="24"/>
          <w:szCs w:val="24"/>
          <w:rtl w:val="0"/>
        </w:rPr>
        <w:t xml:space="preserve">{Частина друга статті 18 із змінами, внесеними згідно із Законом </w:t>
      </w:r>
      <w:hyperlink r:id="rId7">
        <w:r w:rsidDel="00000000" w:rsidR="00000000" w:rsidRPr="00000000">
          <w:rPr>
            <w:rFonts w:ascii="Open Sans" w:cs="Open Sans" w:eastAsia="Open Sans" w:hAnsi="Open Sans"/>
            <w:i w:val="1"/>
            <w:color w:val="f27c7e"/>
            <w:sz w:val="24"/>
            <w:szCs w:val="24"/>
            <w:rtl w:val="0"/>
          </w:rPr>
          <w:t xml:space="preserve">№ 2145-VIII від 05.09.2017</w:t>
        </w:r>
      </w:hyperlink>
      <w:r w:rsidDel="00000000" w:rsidR="00000000" w:rsidRPr="00000000">
        <w:rPr>
          <w:rFonts w:ascii="Open Sans" w:cs="Open Sans" w:eastAsia="Open Sans" w:hAnsi="Open Sans"/>
          <w:i w:val="1"/>
          <w:color w:val="000000"/>
          <w:sz w:val="24"/>
          <w:szCs w:val="24"/>
          <w:rtl w:val="0"/>
        </w:rPr>
        <w:t xml:space="preserve">}</w:t>
      </w:r>
      <w:r w:rsidDel="00000000" w:rsidR="00000000" w:rsidRPr="00000000">
        <w:rPr>
          <w:rtl w:val="0"/>
        </w:rPr>
      </w:r>
    </w:p>
    <w:p w:rsidR="00000000" w:rsidDel="00000000" w:rsidP="00000000" w:rsidRDefault="00000000" w:rsidRPr="00000000" w14:paraId="00000017">
      <w:pPr>
        <w:numPr>
          <w:ilvl w:val="0"/>
          <w:numId w:val="1"/>
        </w:numPr>
        <w:spacing w:after="0" w:line="240" w:lineRule="auto"/>
        <w:ind w:left="0" w:hanging="36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p>
    <w:p w:rsidR="00000000" w:rsidDel="00000000" w:rsidP="00000000" w:rsidRDefault="00000000" w:rsidRPr="00000000" w14:paraId="00000018">
      <w:pPr>
        <w:spacing w:after="150" w:line="240" w:lineRule="auto"/>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p w:rsidR="00000000" w:rsidDel="00000000" w:rsidP="00000000" w:rsidRDefault="00000000" w:rsidRPr="00000000" w14:paraId="00000019">
      <w:pPr>
        <w:spacing w:after="0" w:line="240" w:lineRule="auto"/>
        <w:rPr>
          <w:rFonts w:ascii="Open Sans" w:cs="Open Sans" w:eastAsia="Open Sans" w:hAnsi="Open Sans"/>
          <w:color w:val="000000"/>
          <w:sz w:val="24"/>
          <w:szCs w:val="24"/>
        </w:rPr>
      </w:pPr>
      <w:r w:rsidDel="00000000" w:rsidR="00000000" w:rsidRPr="00000000">
        <w:rPr>
          <w:rFonts w:ascii="Open Sans" w:cs="Open Sans" w:eastAsia="Open Sans" w:hAnsi="Open Sans"/>
          <w:i w:val="1"/>
          <w:color w:val="000000"/>
          <w:sz w:val="24"/>
          <w:szCs w:val="24"/>
          <w:rtl w:val="0"/>
        </w:rPr>
        <w:t xml:space="preserve">{Частина третя статті 18 в редакції Закону </w:t>
      </w:r>
      <w:hyperlink r:id="rId8">
        <w:r w:rsidDel="00000000" w:rsidR="00000000" w:rsidRPr="00000000">
          <w:rPr>
            <w:rFonts w:ascii="Open Sans" w:cs="Open Sans" w:eastAsia="Open Sans" w:hAnsi="Open Sans"/>
            <w:i w:val="1"/>
            <w:color w:val="f27c7e"/>
            <w:sz w:val="24"/>
            <w:szCs w:val="24"/>
            <w:rtl w:val="0"/>
          </w:rPr>
          <w:t xml:space="preserve">№ 2145-VIII від 05.09.2017</w:t>
        </w:r>
      </w:hyperlink>
      <w:r w:rsidDel="00000000" w:rsidR="00000000" w:rsidRPr="00000000">
        <w:rPr>
          <w:rFonts w:ascii="Open Sans" w:cs="Open Sans" w:eastAsia="Open Sans" w:hAnsi="Open Sans"/>
          <w:i w:val="1"/>
          <w:color w:val="000000"/>
          <w:sz w:val="24"/>
          <w:szCs w:val="24"/>
          <w:rtl w:val="0"/>
        </w:rPr>
        <w:t xml:space="preserve">}</w:t>
      </w:r>
      <w:r w:rsidDel="00000000" w:rsidR="00000000" w:rsidRPr="00000000">
        <w:rPr>
          <w:rtl w:val="0"/>
        </w:rPr>
      </w:r>
    </w:p>
    <w:p w:rsidR="00000000" w:rsidDel="00000000" w:rsidP="00000000" w:rsidRDefault="00000000" w:rsidRPr="00000000" w14:paraId="0000001A">
      <w:pPr>
        <w:numPr>
          <w:ilvl w:val="0"/>
          <w:numId w:val="2"/>
        </w:numPr>
        <w:spacing w:after="0" w:line="240" w:lineRule="auto"/>
        <w:ind w:left="0" w:hanging="36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Зарахування учнів до загальноосвітньої санаторної школи (школи-інтернату) проводиться у порядку, встановленому центральним органом виконавчої влади, що забезпечує формування державної політики у сфері освіти та центральним органом виконавчої влади, що забезпечує формування державної політики у сфері охорони здоров’я.</w:t>
      </w:r>
    </w:p>
    <w:p w:rsidR="00000000" w:rsidDel="00000000" w:rsidP="00000000" w:rsidRDefault="00000000" w:rsidRPr="00000000" w14:paraId="0000001B">
      <w:pPr>
        <w:numPr>
          <w:ilvl w:val="0"/>
          <w:numId w:val="2"/>
        </w:numPr>
        <w:spacing w:after="0" w:line="240" w:lineRule="auto"/>
        <w:ind w:left="0" w:hanging="36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Направлення учнів (вихованців) до шкіл соціальної реабілітації та дострокове звільнення їх із цих навчальних закладів здійснюються за рішенням суду.</w:t>
      </w:r>
    </w:p>
    <w:p w:rsidR="00000000" w:rsidDel="00000000" w:rsidP="00000000" w:rsidRDefault="00000000" w:rsidRPr="00000000" w14:paraId="0000001C">
      <w:pPr>
        <w:spacing w:after="0" w:line="240" w:lineRule="auto"/>
        <w:rPr>
          <w:rFonts w:ascii="Open Sans" w:cs="Open Sans" w:eastAsia="Open Sans" w:hAnsi="Open Sans"/>
          <w:color w:val="000000"/>
          <w:sz w:val="24"/>
          <w:szCs w:val="24"/>
        </w:rPr>
      </w:pPr>
      <w:r w:rsidDel="00000000" w:rsidR="00000000" w:rsidRPr="00000000">
        <w:rPr>
          <w:rFonts w:ascii="Open Sans" w:cs="Open Sans" w:eastAsia="Open Sans" w:hAnsi="Open Sans"/>
          <w:i w:val="1"/>
          <w:color w:val="000000"/>
          <w:sz w:val="24"/>
          <w:szCs w:val="24"/>
          <w:rtl w:val="0"/>
        </w:rPr>
        <w:t xml:space="preserve">{Частину шосту статті 18 виключено на підставі Закону </w:t>
      </w:r>
      <w:hyperlink r:id="rId9">
        <w:r w:rsidDel="00000000" w:rsidR="00000000" w:rsidRPr="00000000">
          <w:rPr>
            <w:rFonts w:ascii="Open Sans" w:cs="Open Sans" w:eastAsia="Open Sans" w:hAnsi="Open Sans"/>
            <w:i w:val="1"/>
            <w:color w:val="f27c7e"/>
            <w:sz w:val="24"/>
            <w:szCs w:val="24"/>
            <w:rtl w:val="0"/>
          </w:rPr>
          <w:t xml:space="preserve">№ 2145-VIII від 05.09.2017</w:t>
        </w:r>
      </w:hyperlink>
      <w:r w:rsidDel="00000000" w:rsidR="00000000" w:rsidRPr="00000000">
        <w:rPr>
          <w:rFonts w:ascii="Open Sans" w:cs="Open Sans" w:eastAsia="Open Sans" w:hAnsi="Open Sans"/>
          <w:i w:val="1"/>
          <w:color w:val="000000"/>
          <w:sz w:val="24"/>
          <w:szCs w:val="24"/>
          <w:rtl w:val="0"/>
        </w:rPr>
        <w:t xml:space="preserve">}</w:t>
      </w:r>
      <w:r w:rsidDel="00000000" w:rsidR="00000000" w:rsidRPr="00000000">
        <w:rPr>
          <w:rtl w:val="0"/>
        </w:rPr>
      </w:r>
    </w:p>
    <w:p w:rsidR="00000000" w:rsidDel="00000000" w:rsidP="00000000" w:rsidRDefault="00000000" w:rsidRPr="00000000" w14:paraId="0000001D">
      <w:pPr>
        <w:numPr>
          <w:ilvl w:val="0"/>
          <w:numId w:val="3"/>
        </w:numPr>
        <w:spacing w:after="0" w:line="240" w:lineRule="auto"/>
        <w:ind w:left="0" w:hanging="36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000000" w:rsidDel="00000000" w:rsidP="00000000" w:rsidRDefault="00000000" w:rsidRPr="00000000" w14:paraId="0000001E">
      <w:pPr>
        <w:spacing w:after="150" w:line="240" w:lineRule="auto"/>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p w:rsidR="00000000" w:rsidDel="00000000" w:rsidP="00000000" w:rsidRDefault="00000000" w:rsidRPr="00000000" w14:paraId="0000001F">
      <w:pPr>
        <w:spacing w:after="0" w:line="240" w:lineRule="auto"/>
        <w:rPr>
          <w:rFonts w:ascii="Open Sans" w:cs="Open Sans" w:eastAsia="Open Sans" w:hAnsi="Open Sans"/>
          <w:color w:val="000000"/>
          <w:sz w:val="24"/>
          <w:szCs w:val="24"/>
        </w:rPr>
      </w:pPr>
      <w:r w:rsidDel="00000000" w:rsidR="00000000" w:rsidRPr="00000000">
        <w:rPr>
          <w:rFonts w:ascii="Open Sans" w:cs="Open Sans" w:eastAsia="Open Sans" w:hAnsi="Open Sans"/>
          <w:i w:val="1"/>
          <w:color w:val="000000"/>
          <w:sz w:val="24"/>
          <w:szCs w:val="24"/>
          <w:rtl w:val="0"/>
        </w:rPr>
        <w:t xml:space="preserve">{Статтю 18 доповнено частиною 7 на підставі Закону </w:t>
      </w:r>
      <w:hyperlink r:id="rId10">
        <w:r w:rsidDel="00000000" w:rsidR="00000000" w:rsidRPr="00000000">
          <w:rPr>
            <w:rFonts w:ascii="Open Sans" w:cs="Open Sans" w:eastAsia="Open Sans" w:hAnsi="Open Sans"/>
            <w:i w:val="1"/>
            <w:color w:val="f27c7e"/>
            <w:sz w:val="24"/>
            <w:szCs w:val="24"/>
            <w:rtl w:val="0"/>
          </w:rPr>
          <w:t xml:space="preserve">№ 3701-VI від 06.09.2011</w:t>
        </w:r>
      </w:hyperlink>
      <w:r w:rsidDel="00000000" w:rsidR="00000000" w:rsidRPr="00000000">
        <w:rPr>
          <w:rFonts w:ascii="Open Sans" w:cs="Open Sans" w:eastAsia="Open Sans" w:hAnsi="Open Sans"/>
          <w:i w:val="1"/>
          <w:color w:val="000000"/>
          <w:sz w:val="24"/>
          <w:szCs w:val="24"/>
          <w:rtl w:val="0"/>
        </w:rPr>
        <w:t xml:space="preserve">; в редакції Закону </w:t>
      </w:r>
      <w:hyperlink r:id="rId11">
        <w:r w:rsidDel="00000000" w:rsidR="00000000" w:rsidRPr="00000000">
          <w:rPr>
            <w:rFonts w:ascii="Open Sans" w:cs="Open Sans" w:eastAsia="Open Sans" w:hAnsi="Open Sans"/>
            <w:i w:val="1"/>
            <w:color w:val="f27c7e"/>
            <w:sz w:val="24"/>
            <w:szCs w:val="24"/>
            <w:rtl w:val="0"/>
          </w:rPr>
          <w:t xml:space="preserve">№ 2145-VIII від 05.09.2017</w:t>
        </w:r>
      </w:hyperlink>
      <w:r w:rsidDel="00000000" w:rsidR="00000000" w:rsidRPr="00000000">
        <w:rPr>
          <w:rFonts w:ascii="Open Sans" w:cs="Open Sans" w:eastAsia="Open Sans" w:hAnsi="Open Sans"/>
          <w:i w:val="1"/>
          <w:color w:val="000000"/>
          <w:sz w:val="24"/>
          <w:szCs w:val="24"/>
          <w:rtl w:val="0"/>
        </w:rPr>
        <w:t xml:space="preserve">}</w:t>
      </w:r>
      <w:r w:rsidDel="00000000" w:rsidR="00000000" w:rsidRPr="00000000">
        <w:rPr>
          <w:rtl w:val="0"/>
        </w:rPr>
      </w:r>
    </w:p>
    <w:p w:rsidR="00000000" w:rsidDel="00000000" w:rsidP="00000000" w:rsidRDefault="00000000" w:rsidRPr="00000000" w14:paraId="00000020">
      <w:pPr>
        <w:spacing w:after="150" w:line="240" w:lineRule="auto"/>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 </w:t>
      </w:r>
    </w:p>
    <w:p w:rsidR="00000000" w:rsidDel="00000000" w:rsidP="00000000" w:rsidRDefault="00000000" w:rsidRPr="00000000" w14:paraId="00000021">
      <w:pPr>
        <w:spacing w:after="0" w:line="240" w:lineRule="auto"/>
        <w:rPr>
          <w:rFonts w:ascii="Open Sans" w:cs="Open Sans" w:eastAsia="Open Sans" w:hAnsi="Open Sans"/>
          <w:color w:val="000000"/>
          <w:sz w:val="24"/>
          <w:szCs w:val="24"/>
        </w:rPr>
      </w:pPr>
      <w:r w:rsidDel="00000000" w:rsidR="00000000" w:rsidRPr="00000000">
        <w:rPr>
          <w:rFonts w:ascii="Open Sans" w:cs="Open Sans" w:eastAsia="Open Sans" w:hAnsi="Open Sans"/>
          <w:b w:val="1"/>
          <w:color w:val="000000"/>
          <w:sz w:val="24"/>
          <w:szCs w:val="24"/>
          <w:rtl w:val="0"/>
        </w:rPr>
        <w:t xml:space="preserve">Стаття 20. Учень (вихованець)</w:t>
      </w:r>
      <w:r w:rsidDel="00000000" w:rsidR="00000000" w:rsidRPr="00000000">
        <w:rPr>
          <w:rtl w:val="0"/>
        </w:rPr>
      </w:r>
    </w:p>
    <w:p w:rsidR="00000000" w:rsidDel="00000000" w:rsidP="00000000" w:rsidRDefault="00000000" w:rsidRPr="00000000" w14:paraId="00000022">
      <w:pPr>
        <w:numPr>
          <w:ilvl w:val="0"/>
          <w:numId w:val="4"/>
        </w:numPr>
        <w:spacing w:after="0" w:line="240" w:lineRule="auto"/>
        <w:ind w:left="0" w:hanging="36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Учень (вихованець) – особа, яка навчається і виховується в одному із закладів загальної середньої освіти. Зарахування учнів до закладів загальної середньої освіти здійснюється, як правило, з 6 років.</w:t>
      </w:r>
    </w:p>
    <w:p w:rsidR="00000000" w:rsidDel="00000000" w:rsidP="00000000" w:rsidRDefault="00000000" w:rsidRPr="00000000" w14:paraId="00000023">
      <w:pPr>
        <w:numPr>
          <w:ilvl w:val="0"/>
          <w:numId w:val="4"/>
        </w:numPr>
        <w:spacing w:after="0" w:line="240" w:lineRule="auto"/>
        <w:ind w:left="0" w:hanging="360"/>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Статус учнів (вихованців) як учасників освітнього процесу у закладах загальної середньої освіти, їх права та обов’язки визначаються </w:t>
      </w:r>
      <w:hyperlink r:id="rId12">
        <w:r w:rsidDel="00000000" w:rsidR="00000000" w:rsidRPr="00000000">
          <w:rPr>
            <w:rFonts w:ascii="Open Sans" w:cs="Open Sans" w:eastAsia="Open Sans" w:hAnsi="Open Sans"/>
            <w:color w:val="f27c7e"/>
            <w:sz w:val="24"/>
            <w:szCs w:val="24"/>
            <w:rtl w:val="0"/>
          </w:rPr>
          <w:t xml:space="preserve">Законом України</w:t>
        </w:r>
      </w:hyperlink>
      <w:r w:rsidDel="00000000" w:rsidR="00000000" w:rsidRPr="00000000">
        <w:rPr>
          <w:rFonts w:ascii="Open Sans" w:cs="Open Sans" w:eastAsia="Open Sans" w:hAnsi="Open Sans"/>
          <w:color w:val="000000"/>
          <w:sz w:val="24"/>
          <w:szCs w:val="24"/>
          <w:rtl w:val="0"/>
        </w:rPr>
        <w:t xml:space="preserve">“Про освіту”, цим Законом та іншими нормативно-правовими актами.</w:t>
      </w:r>
    </w:p>
    <w:p w:rsidR="00000000" w:rsidDel="00000000" w:rsidP="00000000" w:rsidRDefault="00000000" w:rsidRPr="00000000" w14:paraId="00000024">
      <w:pPr>
        <w:spacing w:after="0" w:line="240" w:lineRule="auto"/>
        <w:rPr>
          <w:rFonts w:ascii="Open Sans" w:cs="Open Sans" w:eastAsia="Open Sans" w:hAnsi="Open Sans"/>
          <w:color w:val="000000"/>
          <w:sz w:val="24"/>
          <w:szCs w:val="24"/>
        </w:rPr>
      </w:pPr>
      <w:r w:rsidDel="00000000" w:rsidR="00000000" w:rsidRPr="00000000">
        <w:rPr>
          <w:rFonts w:ascii="Open Sans" w:cs="Open Sans" w:eastAsia="Open Sans" w:hAnsi="Open Sans"/>
          <w:i w:val="1"/>
          <w:color w:val="000000"/>
          <w:sz w:val="24"/>
          <w:szCs w:val="24"/>
          <w:rtl w:val="0"/>
        </w:rPr>
        <w:t xml:space="preserve">{Частина друга статті 20 із змінами, внесеними згідно із Законом </w:t>
      </w:r>
      <w:hyperlink r:id="rId13">
        <w:r w:rsidDel="00000000" w:rsidR="00000000" w:rsidRPr="00000000">
          <w:rPr>
            <w:rFonts w:ascii="Open Sans" w:cs="Open Sans" w:eastAsia="Open Sans" w:hAnsi="Open Sans"/>
            <w:i w:val="1"/>
            <w:color w:val="f27c7e"/>
            <w:sz w:val="24"/>
            <w:szCs w:val="24"/>
            <w:rtl w:val="0"/>
          </w:rPr>
          <w:t xml:space="preserve">№ 2145-VIII від 05.09.2017</w:t>
        </w:r>
      </w:hyperlink>
      <w:r w:rsidDel="00000000" w:rsidR="00000000" w:rsidRPr="00000000">
        <w:rPr>
          <w:rFonts w:ascii="Open Sans" w:cs="Open Sans" w:eastAsia="Open Sans" w:hAnsi="Open Sans"/>
          <w:i w:val="1"/>
          <w:color w:val="000000"/>
          <w:sz w:val="24"/>
          <w:szCs w:val="24"/>
          <w:rtl w:val="0"/>
        </w:rPr>
        <w:t xml:space="preserve">}</w:t>
      </w:r>
      <w:r w:rsidDel="00000000" w:rsidR="00000000" w:rsidRPr="00000000">
        <w:rPr>
          <w:rtl w:val="0"/>
        </w:rPr>
      </w:r>
    </w:p>
    <w:p w:rsidR="00000000" w:rsidDel="00000000" w:rsidP="00000000" w:rsidRDefault="00000000" w:rsidRPr="00000000" w14:paraId="00000025">
      <w:pPr>
        <w:spacing w:after="150" w:line="240" w:lineRule="auto"/>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t xml:space="preserve"> </w:t>
      </w:r>
    </w:p>
    <w:p w:rsidR="00000000" w:rsidDel="00000000" w:rsidP="00000000" w:rsidRDefault="00000000" w:rsidRPr="00000000" w14:paraId="00000026">
      <w:pPr>
        <w:spacing w:after="0" w:line="240" w:lineRule="auto"/>
        <w:jc w:val="center"/>
        <w:rPr>
          <w:b w:val="1"/>
          <w:color w:val="2e4371"/>
          <w:sz w:val="36"/>
          <w:szCs w:val="36"/>
        </w:rPr>
      </w:pPr>
      <w:r w:rsidDel="00000000" w:rsidR="00000000" w:rsidRPr="00000000">
        <w:rPr>
          <w:rtl w:val="0"/>
        </w:rPr>
      </w:r>
    </w:p>
    <w:p w:rsidR="00000000" w:rsidDel="00000000" w:rsidP="00000000" w:rsidRDefault="00000000" w:rsidRPr="00000000" w14:paraId="00000027">
      <w:pPr>
        <w:spacing w:after="0" w:line="240" w:lineRule="auto"/>
        <w:jc w:val="center"/>
        <w:rPr>
          <w:b w:val="1"/>
          <w:color w:val="2e4371"/>
          <w:sz w:val="36"/>
          <w:szCs w:val="36"/>
        </w:rPr>
      </w:pPr>
      <w:r w:rsidDel="00000000" w:rsidR="00000000" w:rsidRPr="00000000">
        <w:rPr>
          <w:rtl w:val="0"/>
        </w:rPr>
      </w:r>
    </w:p>
    <w:p w:rsidR="00000000" w:rsidDel="00000000" w:rsidP="00000000" w:rsidRDefault="00000000" w:rsidRPr="00000000" w14:paraId="00000028">
      <w:pPr>
        <w:spacing w:after="0" w:line="240" w:lineRule="auto"/>
        <w:jc w:val="center"/>
        <w:rPr>
          <w:b w:val="1"/>
          <w:color w:val="2e4371"/>
          <w:sz w:val="36"/>
          <w:szCs w:val="36"/>
        </w:rPr>
      </w:pPr>
      <w:r w:rsidDel="00000000" w:rsidR="00000000" w:rsidRPr="00000000">
        <w:rPr>
          <w:rtl w:val="0"/>
        </w:rPr>
      </w:r>
    </w:p>
    <w:p w:rsidR="00000000" w:rsidDel="00000000" w:rsidP="00000000" w:rsidRDefault="00000000" w:rsidRPr="00000000" w14:paraId="00000029">
      <w:pPr>
        <w:spacing w:after="0" w:line="240" w:lineRule="auto"/>
        <w:jc w:val="center"/>
        <w:rPr>
          <w:b w:val="1"/>
          <w:color w:val="2e4371"/>
          <w:sz w:val="36"/>
          <w:szCs w:val="36"/>
        </w:rPr>
      </w:pPr>
      <w:r w:rsidDel="00000000" w:rsidR="00000000" w:rsidRPr="00000000">
        <w:rPr>
          <w:rtl w:val="0"/>
        </w:rPr>
      </w:r>
    </w:p>
    <w:p w:rsidR="00000000" w:rsidDel="00000000" w:rsidP="00000000" w:rsidRDefault="00000000" w:rsidRPr="00000000" w14:paraId="0000002A">
      <w:pPr>
        <w:spacing w:after="0" w:line="240" w:lineRule="auto"/>
        <w:jc w:val="center"/>
        <w:rPr>
          <w:b w:val="1"/>
          <w:color w:val="2e4371"/>
          <w:sz w:val="36"/>
          <w:szCs w:val="36"/>
        </w:rPr>
      </w:pPr>
      <w:r w:rsidDel="00000000" w:rsidR="00000000" w:rsidRPr="00000000">
        <w:rPr>
          <w:rtl w:val="0"/>
        </w:rPr>
      </w:r>
    </w:p>
    <w:p w:rsidR="00000000" w:rsidDel="00000000" w:rsidP="00000000" w:rsidRDefault="00000000" w:rsidRPr="00000000" w14:paraId="0000002B">
      <w:pPr>
        <w:spacing w:after="0" w:line="240" w:lineRule="auto"/>
        <w:jc w:val="center"/>
        <w:rPr>
          <w:b w:val="1"/>
          <w:color w:val="2e4371"/>
          <w:sz w:val="36"/>
          <w:szCs w:val="36"/>
        </w:rPr>
      </w:pPr>
      <w:r w:rsidDel="00000000" w:rsidR="00000000" w:rsidRPr="00000000">
        <w:rPr>
          <w:rtl w:val="0"/>
        </w:rPr>
      </w:r>
    </w:p>
    <w:p w:rsidR="00000000" w:rsidDel="00000000" w:rsidP="00000000" w:rsidRDefault="00000000" w:rsidRPr="00000000" w14:paraId="0000002C">
      <w:pPr>
        <w:spacing w:after="0" w:line="240" w:lineRule="auto"/>
        <w:jc w:val="center"/>
        <w:rPr>
          <w:b w:val="1"/>
          <w:color w:val="2e4371"/>
          <w:sz w:val="36"/>
          <w:szCs w:val="36"/>
        </w:rPr>
      </w:pPr>
      <w:r w:rsidDel="00000000" w:rsidR="00000000" w:rsidRPr="00000000">
        <w:rPr>
          <w:rtl w:val="0"/>
        </w:rPr>
      </w:r>
    </w:p>
    <w:p w:rsidR="00000000" w:rsidDel="00000000" w:rsidP="00000000" w:rsidRDefault="00000000" w:rsidRPr="00000000" w14:paraId="0000002D">
      <w:pPr>
        <w:spacing w:after="0" w:line="240" w:lineRule="auto"/>
        <w:jc w:val="center"/>
        <w:rPr>
          <w:b w:val="1"/>
          <w:color w:val="2e4371"/>
          <w:sz w:val="36"/>
          <w:szCs w:val="36"/>
        </w:rPr>
      </w:pPr>
      <w:r w:rsidDel="00000000" w:rsidR="00000000" w:rsidRPr="00000000">
        <w:rPr>
          <w:rtl w:val="0"/>
        </w:rPr>
      </w:r>
    </w:p>
    <w:p w:rsidR="00000000" w:rsidDel="00000000" w:rsidP="00000000" w:rsidRDefault="00000000" w:rsidRPr="00000000" w14:paraId="0000002E">
      <w:pPr>
        <w:spacing w:after="0" w:line="240" w:lineRule="auto"/>
        <w:jc w:val="center"/>
        <w:rPr>
          <w:b w:val="1"/>
          <w:color w:val="2e4371"/>
          <w:sz w:val="36"/>
          <w:szCs w:val="36"/>
        </w:rPr>
      </w:pPr>
      <w:r w:rsidDel="00000000" w:rsidR="00000000" w:rsidRPr="00000000">
        <w:rPr>
          <w:rtl w:val="0"/>
        </w:rPr>
      </w:r>
    </w:p>
    <w:p w:rsidR="00000000" w:rsidDel="00000000" w:rsidP="00000000" w:rsidRDefault="00000000" w:rsidRPr="00000000" w14:paraId="0000002F">
      <w:pPr>
        <w:spacing w:after="0" w:line="240" w:lineRule="auto"/>
        <w:jc w:val="center"/>
        <w:rPr>
          <w:b w:val="1"/>
          <w:color w:val="2e4371"/>
          <w:sz w:val="36"/>
          <w:szCs w:val="36"/>
        </w:rPr>
      </w:pPr>
      <w:r w:rsidDel="00000000" w:rsidR="00000000" w:rsidRPr="00000000">
        <w:rPr>
          <w:rtl w:val="0"/>
        </w:rPr>
      </w:r>
    </w:p>
    <w:p w:rsidR="00000000" w:rsidDel="00000000" w:rsidP="00000000" w:rsidRDefault="00000000" w:rsidRPr="00000000" w14:paraId="00000030">
      <w:pPr>
        <w:spacing w:after="0" w:line="240" w:lineRule="auto"/>
        <w:jc w:val="center"/>
        <w:rPr>
          <w:b w:val="1"/>
          <w:color w:val="2e4371"/>
          <w:sz w:val="36"/>
          <w:szCs w:val="36"/>
        </w:rPr>
      </w:pPr>
      <w:r w:rsidDel="00000000" w:rsidR="00000000" w:rsidRPr="00000000">
        <w:rPr>
          <w:rtl w:val="0"/>
        </w:rPr>
      </w:r>
    </w:p>
    <w:p w:rsidR="00000000" w:rsidDel="00000000" w:rsidP="00000000" w:rsidRDefault="00000000" w:rsidRPr="00000000" w14:paraId="00000031">
      <w:pPr>
        <w:spacing w:after="0" w:line="240" w:lineRule="auto"/>
        <w:jc w:val="center"/>
        <w:rPr>
          <w:b w:val="1"/>
          <w:color w:val="2e4371"/>
          <w:sz w:val="36"/>
          <w:szCs w:val="36"/>
        </w:rPr>
      </w:pPr>
      <w:r w:rsidDel="00000000" w:rsidR="00000000" w:rsidRPr="00000000">
        <w:rPr>
          <w:rtl w:val="0"/>
        </w:rPr>
      </w:r>
    </w:p>
    <w:p w:rsidR="00000000" w:rsidDel="00000000" w:rsidP="00000000" w:rsidRDefault="00000000" w:rsidRPr="00000000" w14:paraId="00000032">
      <w:pPr>
        <w:spacing w:after="0" w:line="240" w:lineRule="auto"/>
        <w:jc w:val="center"/>
        <w:rPr>
          <w:b w:val="1"/>
          <w:color w:val="2e4371"/>
          <w:sz w:val="36"/>
          <w:szCs w:val="36"/>
        </w:rPr>
      </w:pPr>
      <w:r w:rsidDel="00000000" w:rsidR="00000000" w:rsidRPr="00000000">
        <w:rPr>
          <w:rtl w:val="0"/>
        </w:rPr>
      </w:r>
    </w:p>
    <w:p w:rsidR="00000000" w:rsidDel="00000000" w:rsidP="00000000" w:rsidRDefault="00000000" w:rsidRPr="00000000" w14:paraId="00000033">
      <w:pPr>
        <w:spacing w:after="0" w:line="240" w:lineRule="auto"/>
        <w:jc w:val="center"/>
        <w:rPr>
          <w:b w:val="1"/>
          <w:color w:val="2e4371"/>
          <w:sz w:val="36"/>
          <w:szCs w:val="36"/>
        </w:rPr>
      </w:pPr>
      <w:r w:rsidDel="00000000" w:rsidR="00000000" w:rsidRPr="00000000">
        <w:rPr>
          <w:rtl w:val="0"/>
        </w:rPr>
      </w:r>
    </w:p>
    <w:p w:rsidR="00000000" w:rsidDel="00000000" w:rsidP="00000000" w:rsidRDefault="00000000" w:rsidRPr="00000000" w14:paraId="00000034">
      <w:pPr>
        <w:spacing w:after="0" w:line="240" w:lineRule="auto"/>
        <w:jc w:val="center"/>
        <w:rPr>
          <w:b w:val="1"/>
          <w:color w:val="2e4371"/>
          <w:sz w:val="36"/>
          <w:szCs w:val="36"/>
        </w:rPr>
      </w:pPr>
      <w:r w:rsidDel="00000000" w:rsidR="00000000" w:rsidRPr="00000000">
        <w:rPr>
          <w:rtl w:val="0"/>
        </w:rPr>
      </w:r>
    </w:p>
    <w:p w:rsidR="00000000" w:rsidDel="00000000" w:rsidP="00000000" w:rsidRDefault="00000000" w:rsidRPr="00000000" w14:paraId="00000035">
      <w:pPr>
        <w:spacing w:after="0" w:line="240" w:lineRule="auto"/>
        <w:jc w:val="center"/>
        <w:rPr>
          <w:b w:val="1"/>
          <w:color w:val="2e4371"/>
          <w:sz w:val="36"/>
          <w:szCs w:val="36"/>
        </w:rPr>
      </w:pPr>
      <w:r w:rsidDel="00000000" w:rsidR="00000000" w:rsidRPr="00000000">
        <w:rPr>
          <w:rFonts w:ascii="Helvetica Neue" w:cs="Helvetica Neue" w:eastAsia="Helvetica Neue" w:hAnsi="Helvetica Neue"/>
          <w:b w:val="1"/>
          <w:color w:val="2e4371"/>
          <w:sz w:val="36"/>
          <w:szCs w:val="36"/>
          <w:rtl w:val="0"/>
        </w:rPr>
        <w:t xml:space="preserve">Витяг з</w:t>
      </w:r>
      <w:r w:rsidDel="00000000" w:rsidR="00000000" w:rsidRPr="00000000">
        <w:rPr>
          <w:b w:val="1"/>
          <w:color w:val="2e4371"/>
          <w:sz w:val="36"/>
          <w:szCs w:val="36"/>
          <w:rtl w:val="0"/>
        </w:rPr>
        <w:t xml:space="preserve">і</w:t>
      </w:r>
      <w:r w:rsidDel="00000000" w:rsidR="00000000" w:rsidRPr="00000000">
        <w:rPr>
          <w:rFonts w:ascii="Helvetica Neue" w:cs="Helvetica Neue" w:eastAsia="Helvetica Neue" w:hAnsi="Helvetica Neue"/>
          <w:b w:val="1"/>
          <w:color w:val="2e4371"/>
          <w:sz w:val="36"/>
          <w:szCs w:val="36"/>
          <w:rtl w:val="0"/>
        </w:rPr>
        <w:t xml:space="preserve"> Статуту </w:t>
      </w:r>
      <w:r w:rsidDel="00000000" w:rsidR="00000000" w:rsidRPr="00000000">
        <w:rPr>
          <w:b w:val="1"/>
          <w:color w:val="2e4371"/>
          <w:sz w:val="36"/>
          <w:szCs w:val="36"/>
          <w:rtl w:val="0"/>
        </w:rPr>
        <w:t xml:space="preserve">Рингацького</w:t>
      </w:r>
      <w:r w:rsidDel="00000000" w:rsidR="00000000" w:rsidRPr="00000000">
        <w:rPr>
          <w:rFonts w:ascii="Helvetica Neue" w:cs="Helvetica Neue" w:eastAsia="Helvetica Neue" w:hAnsi="Helvetica Neue"/>
          <w:b w:val="1"/>
          <w:color w:val="2e4371"/>
          <w:sz w:val="36"/>
          <w:szCs w:val="36"/>
          <w:rtl w:val="0"/>
        </w:rPr>
        <w:t xml:space="preserve">го НВК</w:t>
      </w:r>
      <w:r w:rsidDel="00000000" w:rsidR="00000000" w:rsidRPr="00000000">
        <w:rPr>
          <w:rtl w:val="0"/>
        </w:rPr>
      </w:r>
    </w:p>
    <w:p w:rsidR="00000000" w:rsidDel="00000000" w:rsidP="00000000" w:rsidRDefault="00000000" w:rsidRPr="00000000" w14:paraId="00000036">
      <w:pPr>
        <w:spacing w:after="0" w:line="240" w:lineRule="auto"/>
        <w:jc w:val="center"/>
        <w:rPr>
          <w:b w:val="1"/>
          <w:color w:val="2e4371"/>
          <w:sz w:val="36"/>
          <w:szCs w:val="36"/>
        </w:rPr>
      </w:pP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b w:val="1"/>
          <w:color w:val="010118"/>
          <w:sz w:val="27"/>
          <w:szCs w:val="27"/>
        </w:rPr>
      </w:pPr>
      <w:r w:rsidDel="00000000" w:rsidR="00000000" w:rsidRPr="00000000">
        <w:rPr>
          <w:rFonts w:ascii="Times New Roman" w:cs="Times New Roman" w:eastAsia="Times New Roman" w:hAnsi="Times New Roman"/>
          <w:b w:val="1"/>
          <w:color w:val="010118"/>
          <w:sz w:val="27"/>
          <w:szCs w:val="27"/>
          <w:rtl w:val="0"/>
        </w:rPr>
        <w:t xml:space="preserve">ІІ. Організація навчально – виховного процесу</w:t>
      </w:r>
    </w:p>
    <w:p w:rsidR="00000000" w:rsidDel="00000000" w:rsidP="00000000" w:rsidRDefault="00000000" w:rsidRPr="00000000" w14:paraId="00000038">
      <w:pPr>
        <w:spacing w:after="0" w:line="240" w:lineRule="auto"/>
        <w:rPr>
          <w:rFonts w:ascii="Times New Roman" w:cs="Times New Roman" w:eastAsia="Times New Roman" w:hAnsi="Times New Roman"/>
          <w:color w:val="010118"/>
          <w:sz w:val="27"/>
          <w:szCs w:val="27"/>
        </w:rPr>
      </w:pPr>
      <w:r w:rsidDel="00000000" w:rsidR="00000000" w:rsidRPr="00000000">
        <w:rPr>
          <w:rFonts w:ascii="Times New Roman" w:cs="Times New Roman" w:eastAsia="Times New Roman" w:hAnsi="Times New Roman"/>
          <w:b w:val="1"/>
          <w:color w:val="010118"/>
          <w:sz w:val="27"/>
          <w:szCs w:val="27"/>
          <w:rtl w:val="0"/>
        </w:rPr>
        <w:t xml:space="preserve"> 3. Зарахування учнів (вихованців) до Рингацького НВК та їх відрахування</w:t>
      </w: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color w:val="010118"/>
          <w:sz w:val="27"/>
          <w:szCs w:val="27"/>
        </w:rPr>
      </w:pPr>
      <w:r w:rsidDel="00000000" w:rsidR="00000000" w:rsidRPr="00000000">
        <w:rPr>
          <w:rFonts w:ascii="Times New Roman" w:cs="Times New Roman" w:eastAsia="Times New Roman" w:hAnsi="Times New Roman"/>
          <w:b w:val="1"/>
          <w:color w:val="010118"/>
          <w:sz w:val="27"/>
          <w:szCs w:val="27"/>
          <w:rtl w:val="0"/>
        </w:rPr>
        <w:t xml:space="preserve">3.1. </w:t>
      </w:r>
      <w:r w:rsidDel="00000000" w:rsidR="00000000" w:rsidRPr="00000000">
        <w:rPr>
          <w:rFonts w:ascii="Times New Roman" w:cs="Times New Roman" w:eastAsia="Times New Roman" w:hAnsi="Times New Roman"/>
          <w:color w:val="010118"/>
          <w:sz w:val="27"/>
          <w:szCs w:val="27"/>
          <w:rtl w:val="0"/>
        </w:rPr>
        <w:t xml:space="preserve">Відповідно до розпорядження Новоселицької міської ради   за Рингацьким НВК</w:t>
      </w:r>
      <w:r w:rsidDel="00000000" w:rsidR="00000000" w:rsidRPr="00000000">
        <w:rPr>
          <w:rFonts w:ascii="Times New Roman" w:cs="Times New Roman" w:eastAsia="Times New Roman" w:hAnsi="Times New Roman"/>
          <w:b w:val="1"/>
          <w:color w:val="010118"/>
          <w:sz w:val="27"/>
          <w:szCs w:val="27"/>
          <w:rtl w:val="0"/>
        </w:rPr>
        <w:t xml:space="preserve"> </w:t>
      </w:r>
      <w:r w:rsidDel="00000000" w:rsidR="00000000" w:rsidRPr="00000000">
        <w:rPr>
          <w:rFonts w:ascii="Times New Roman" w:cs="Times New Roman" w:eastAsia="Times New Roman" w:hAnsi="Times New Roman"/>
          <w:color w:val="010118"/>
          <w:sz w:val="27"/>
          <w:szCs w:val="27"/>
          <w:rtl w:val="0"/>
        </w:rPr>
        <w:t xml:space="preserve">закріплюється територія обслуговування і до початку навчального року беруться на облік учні, які мають його відвідувати, відповідно до нормативно-правових актів Кабінету Міністрів України.</w:t>
      </w:r>
    </w:p>
    <w:p w:rsidR="00000000" w:rsidDel="00000000" w:rsidP="00000000" w:rsidRDefault="00000000" w:rsidRPr="00000000" w14:paraId="0000003A">
      <w:pPr>
        <w:spacing w:after="0" w:line="240" w:lineRule="auto"/>
        <w:rPr>
          <w:rFonts w:ascii="Times New Roman" w:cs="Times New Roman" w:eastAsia="Times New Roman" w:hAnsi="Times New Roman"/>
          <w:color w:val="010118"/>
          <w:sz w:val="27"/>
          <w:szCs w:val="27"/>
        </w:rPr>
      </w:pPr>
      <w:r w:rsidDel="00000000" w:rsidR="00000000" w:rsidRPr="00000000">
        <w:rPr>
          <w:rFonts w:ascii="Times New Roman" w:cs="Times New Roman" w:eastAsia="Times New Roman" w:hAnsi="Times New Roman"/>
          <w:b w:val="1"/>
          <w:color w:val="010118"/>
          <w:sz w:val="27"/>
          <w:szCs w:val="27"/>
          <w:rtl w:val="0"/>
        </w:rPr>
        <w:t xml:space="preserve">3.2.</w:t>
      </w:r>
      <w:r w:rsidDel="00000000" w:rsidR="00000000" w:rsidRPr="00000000">
        <w:rPr>
          <w:rFonts w:ascii="Times New Roman" w:cs="Times New Roman" w:eastAsia="Times New Roman" w:hAnsi="Times New Roman"/>
          <w:color w:val="010118"/>
          <w:sz w:val="27"/>
          <w:szCs w:val="27"/>
          <w:rtl w:val="0"/>
        </w:rPr>
        <w:t xml:space="preserve"> Зарахування учнів (вихованців) до всіх класів Рингацького НВК</w:t>
      </w:r>
      <w:r w:rsidDel="00000000" w:rsidR="00000000" w:rsidRPr="00000000">
        <w:rPr>
          <w:rFonts w:ascii="Times New Roman" w:cs="Times New Roman" w:eastAsia="Times New Roman" w:hAnsi="Times New Roman"/>
          <w:b w:val="1"/>
          <w:color w:val="010118"/>
          <w:sz w:val="27"/>
          <w:szCs w:val="27"/>
          <w:rtl w:val="0"/>
        </w:rPr>
        <w:t xml:space="preserve"> </w:t>
      </w:r>
      <w:r w:rsidDel="00000000" w:rsidR="00000000" w:rsidRPr="00000000">
        <w:rPr>
          <w:rFonts w:ascii="Times New Roman" w:cs="Times New Roman" w:eastAsia="Times New Roman" w:hAnsi="Times New Roman"/>
          <w:color w:val="010118"/>
          <w:sz w:val="27"/>
          <w:szCs w:val="27"/>
          <w:rtl w:val="0"/>
        </w:rPr>
        <w:t xml:space="preserve">здійснюється без проведення конкурсу і , як правило, відповідно до території обслуговування.</w:t>
      </w:r>
    </w:p>
    <w:p w:rsidR="00000000" w:rsidDel="00000000" w:rsidP="00000000" w:rsidRDefault="00000000" w:rsidRPr="00000000" w14:paraId="0000003B">
      <w:pPr>
        <w:spacing w:after="0" w:line="240" w:lineRule="auto"/>
        <w:rPr>
          <w:rFonts w:ascii="Times New Roman" w:cs="Times New Roman" w:eastAsia="Times New Roman" w:hAnsi="Times New Roman"/>
          <w:color w:val="010118"/>
          <w:sz w:val="27"/>
          <w:szCs w:val="27"/>
        </w:rPr>
      </w:pPr>
      <w:r w:rsidDel="00000000" w:rsidR="00000000" w:rsidRPr="00000000">
        <w:rPr>
          <w:rFonts w:ascii="Times New Roman" w:cs="Times New Roman" w:eastAsia="Times New Roman" w:hAnsi="Times New Roman"/>
          <w:b w:val="1"/>
          <w:color w:val="010118"/>
          <w:sz w:val="27"/>
          <w:szCs w:val="27"/>
          <w:rtl w:val="0"/>
        </w:rPr>
        <w:t xml:space="preserve">3.3.</w:t>
      </w:r>
      <w:r w:rsidDel="00000000" w:rsidR="00000000" w:rsidRPr="00000000">
        <w:rPr>
          <w:rFonts w:ascii="Times New Roman" w:cs="Times New Roman" w:eastAsia="Times New Roman" w:hAnsi="Times New Roman"/>
          <w:color w:val="010118"/>
          <w:sz w:val="27"/>
          <w:szCs w:val="27"/>
          <w:rtl w:val="0"/>
        </w:rPr>
        <w:t xml:space="preserve"> Керівник </w:t>
      </w:r>
      <w:r w:rsidDel="00000000" w:rsidR="00000000" w:rsidRPr="00000000">
        <w:rPr>
          <w:rFonts w:ascii="Times New Roman" w:cs="Times New Roman" w:eastAsia="Times New Roman" w:hAnsi="Times New Roman"/>
          <w:b w:val="1"/>
          <w:color w:val="010118"/>
          <w:sz w:val="27"/>
          <w:szCs w:val="27"/>
          <w:rtl w:val="0"/>
        </w:rPr>
        <w:t xml:space="preserve">Рингацького НВК </w:t>
      </w:r>
      <w:r w:rsidDel="00000000" w:rsidR="00000000" w:rsidRPr="00000000">
        <w:rPr>
          <w:rFonts w:ascii="Times New Roman" w:cs="Times New Roman" w:eastAsia="Times New Roman" w:hAnsi="Times New Roman"/>
          <w:color w:val="010118"/>
          <w:sz w:val="27"/>
          <w:szCs w:val="27"/>
          <w:rtl w:val="0"/>
        </w:rPr>
        <w:t xml:space="preserve">зобов'язаний вжити заходів до ознайомлення дітей та їх батьків або осіб, які їх замінюють, з порядком зарахування до закладу, його Статутом, Правилами внутрішнього розпорядку та іншими документами, що регламентують організацію навчально-виховного процесу.</w:t>
      </w:r>
    </w:p>
    <w:p w:rsidR="00000000" w:rsidDel="00000000" w:rsidP="00000000" w:rsidRDefault="00000000" w:rsidRPr="00000000" w14:paraId="0000003C">
      <w:pPr>
        <w:spacing w:after="0" w:line="240" w:lineRule="auto"/>
        <w:rPr>
          <w:rFonts w:ascii="Times New Roman" w:cs="Times New Roman" w:eastAsia="Times New Roman" w:hAnsi="Times New Roman"/>
          <w:color w:val="010118"/>
          <w:sz w:val="27"/>
          <w:szCs w:val="27"/>
        </w:rPr>
      </w:pPr>
      <w:r w:rsidDel="00000000" w:rsidR="00000000" w:rsidRPr="00000000">
        <w:rPr>
          <w:rFonts w:ascii="Times New Roman" w:cs="Times New Roman" w:eastAsia="Times New Roman" w:hAnsi="Times New Roman"/>
          <w:b w:val="1"/>
          <w:color w:val="010118"/>
          <w:sz w:val="27"/>
          <w:szCs w:val="27"/>
          <w:rtl w:val="0"/>
        </w:rPr>
        <w:t xml:space="preserve">3.4. </w:t>
      </w:r>
      <w:r w:rsidDel="00000000" w:rsidR="00000000" w:rsidRPr="00000000">
        <w:rPr>
          <w:rFonts w:ascii="Times New Roman" w:cs="Times New Roman" w:eastAsia="Times New Roman" w:hAnsi="Times New Roman"/>
          <w:color w:val="010118"/>
          <w:sz w:val="27"/>
          <w:szCs w:val="27"/>
          <w:rtl w:val="0"/>
        </w:rPr>
        <w:t xml:space="preserve">Зарахування учнів до </w:t>
      </w:r>
      <w:r w:rsidDel="00000000" w:rsidR="00000000" w:rsidRPr="00000000">
        <w:rPr>
          <w:rFonts w:ascii="Times New Roman" w:cs="Times New Roman" w:eastAsia="Times New Roman" w:hAnsi="Times New Roman"/>
          <w:b w:val="1"/>
          <w:color w:val="010118"/>
          <w:sz w:val="27"/>
          <w:szCs w:val="27"/>
          <w:rtl w:val="0"/>
        </w:rPr>
        <w:t xml:space="preserve">Рингацького НВК </w:t>
      </w:r>
      <w:r w:rsidDel="00000000" w:rsidR="00000000" w:rsidRPr="00000000">
        <w:rPr>
          <w:rFonts w:ascii="Times New Roman" w:cs="Times New Roman" w:eastAsia="Times New Roman" w:hAnsi="Times New Roman"/>
          <w:color w:val="010118"/>
          <w:sz w:val="27"/>
          <w:szCs w:val="27"/>
          <w:rtl w:val="0"/>
        </w:rPr>
        <w:t xml:space="preserve">здійснюється, як правило, до початку навчального року за наказом його керівника.</w:t>
      </w:r>
    </w:p>
    <w:p w:rsidR="00000000" w:rsidDel="00000000" w:rsidP="00000000" w:rsidRDefault="00000000" w:rsidRPr="00000000" w14:paraId="0000003D">
      <w:pPr>
        <w:spacing w:after="0" w:line="240" w:lineRule="auto"/>
        <w:rPr>
          <w:rFonts w:ascii="Times New Roman" w:cs="Times New Roman" w:eastAsia="Times New Roman" w:hAnsi="Times New Roman"/>
          <w:color w:val="010118"/>
          <w:sz w:val="27"/>
          <w:szCs w:val="27"/>
        </w:rPr>
      </w:pPr>
      <w:r w:rsidDel="00000000" w:rsidR="00000000" w:rsidRPr="00000000">
        <w:rPr>
          <w:rFonts w:ascii="Times New Roman" w:cs="Times New Roman" w:eastAsia="Times New Roman" w:hAnsi="Times New Roman"/>
          <w:b w:val="1"/>
          <w:color w:val="010118"/>
          <w:sz w:val="27"/>
          <w:szCs w:val="27"/>
          <w:rtl w:val="0"/>
        </w:rPr>
        <w:t xml:space="preserve">3.5.</w:t>
      </w:r>
      <w:r w:rsidDel="00000000" w:rsidR="00000000" w:rsidRPr="00000000">
        <w:rPr>
          <w:rFonts w:ascii="Times New Roman" w:cs="Times New Roman" w:eastAsia="Times New Roman" w:hAnsi="Times New Roman"/>
          <w:color w:val="010118"/>
          <w:sz w:val="27"/>
          <w:szCs w:val="27"/>
          <w:rtl w:val="0"/>
        </w:rPr>
        <w:t xml:space="preserve"> Для зарахування учня до </w:t>
      </w:r>
      <w:r w:rsidDel="00000000" w:rsidR="00000000" w:rsidRPr="00000000">
        <w:rPr>
          <w:rFonts w:ascii="Times New Roman" w:cs="Times New Roman" w:eastAsia="Times New Roman" w:hAnsi="Times New Roman"/>
          <w:b w:val="1"/>
          <w:color w:val="010118"/>
          <w:sz w:val="27"/>
          <w:szCs w:val="27"/>
          <w:rtl w:val="0"/>
        </w:rPr>
        <w:t xml:space="preserve">Рингацького НВК </w:t>
      </w:r>
      <w:r w:rsidDel="00000000" w:rsidR="00000000" w:rsidRPr="00000000">
        <w:rPr>
          <w:rFonts w:ascii="Times New Roman" w:cs="Times New Roman" w:eastAsia="Times New Roman" w:hAnsi="Times New Roman"/>
          <w:color w:val="010118"/>
          <w:sz w:val="27"/>
          <w:szCs w:val="27"/>
          <w:rtl w:val="0"/>
        </w:rPr>
        <w:t xml:space="preserve">батьки або особи, які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 до навчального закладу ІІІ ступеня - документ про відповідний рівень освіти. До першого класу зараховуються з 6-7 років.</w:t>
      </w:r>
    </w:p>
    <w:p w:rsidR="00000000" w:rsidDel="00000000" w:rsidP="00000000" w:rsidRDefault="00000000" w:rsidRPr="00000000" w14:paraId="0000003E">
      <w:pPr>
        <w:spacing w:after="0" w:line="240" w:lineRule="auto"/>
        <w:rPr>
          <w:rFonts w:ascii="Times New Roman" w:cs="Times New Roman" w:eastAsia="Times New Roman" w:hAnsi="Times New Roman"/>
          <w:color w:val="010118"/>
          <w:sz w:val="27"/>
          <w:szCs w:val="27"/>
        </w:rPr>
      </w:pPr>
      <w:r w:rsidDel="00000000" w:rsidR="00000000" w:rsidRPr="00000000">
        <w:rPr>
          <w:rFonts w:ascii="Times New Roman" w:cs="Times New Roman" w:eastAsia="Times New Roman" w:hAnsi="Times New Roman"/>
          <w:b w:val="1"/>
          <w:color w:val="010118"/>
          <w:sz w:val="27"/>
          <w:szCs w:val="27"/>
          <w:rtl w:val="0"/>
        </w:rPr>
        <w:t xml:space="preserve">3.6.</w:t>
      </w:r>
      <w:r w:rsidDel="00000000" w:rsidR="00000000" w:rsidRPr="00000000">
        <w:rPr>
          <w:rFonts w:ascii="Times New Roman" w:cs="Times New Roman" w:eastAsia="Times New Roman" w:hAnsi="Times New Roman"/>
          <w:color w:val="010118"/>
          <w:sz w:val="27"/>
          <w:szCs w:val="27"/>
          <w:rtl w:val="0"/>
        </w:rPr>
        <w:t xml:space="preserve"> Іноземні громадяни та особи без громадянства зараховується до </w:t>
      </w:r>
      <w:r w:rsidDel="00000000" w:rsidR="00000000" w:rsidRPr="00000000">
        <w:rPr>
          <w:rFonts w:ascii="Times New Roman" w:cs="Times New Roman" w:eastAsia="Times New Roman" w:hAnsi="Times New Roman"/>
          <w:b w:val="1"/>
          <w:color w:val="010118"/>
          <w:sz w:val="27"/>
          <w:szCs w:val="27"/>
          <w:rtl w:val="0"/>
        </w:rPr>
        <w:t xml:space="preserve">Рингацького НВК </w:t>
      </w:r>
      <w:r w:rsidDel="00000000" w:rsidR="00000000" w:rsidRPr="00000000">
        <w:rPr>
          <w:rFonts w:ascii="Times New Roman" w:cs="Times New Roman" w:eastAsia="Times New Roman" w:hAnsi="Times New Roman"/>
          <w:color w:val="010118"/>
          <w:sz w:val="27"/>
          <w:szCs w:val="27"/>
          <w:rtl w:val="0"/>
        </w:rPr>
        <w:t xml:space="preserve">відповідно до законодавства та міжнародних договорів.</w:t>
      </w:r>
    </w:p>
    <w:p w:rsidR="00000000" w:rsidDel="00000000" w:rsidP="00000000" w:rsidRDefault="00000000" w:rsidRPr="00000000" w14:paraId="0000003F">
      <w:pPr>
        <w:spacing w:after="0" w:line="240" w:lineRule="auto"/>
        <w:rPr>
          <w:rFonts w:ascii="Times New Roman" w:cs="Times New Roman" w:eastAsia="Times New Roman" w:hAnsi="Times New Roman"/>
          <w:color w:val="010118"/>
          <w:sz w:val="27"/>
          <w:szCs w:val="27"/>
        </w:rPr>
      </w:pPr>
      <w:r w:rsidDel="00000000" w:rsidR="00000000" w:rsidRPr="00000000">
        <w:rPr>
          <w:rFonts w:ascii="Times New Roman" w:cs="Times New Roman" w:eastAsia="Times New Roman" w:hAnsi="Times New Roman"/>
          <w:b w:val="1"/>
          <w:color w:val="010118"/>
          <w:sz w:val="27"/>
          <w:szCs w:val="27"/>
          <w:rtl w:val="0"/>
        </w:rPr>
        <w:t xml:space="preserve">3.7.</w:t>
      </w:r>
      <w:r w:rsidDel="00000000" w:rsidR="00000000" w:rsidRPr="00000000">
        <w:rPr>
          <w:rFonts w:ascii="Times New Roman" w:cs="Times New Roman" w:eastAsia="Times New Roman" w:hAnsi="Times New Roman"/>
          <w:color w:val="010118"/>
          <w:sz w:val="27"/>
          <w:szCs w:val="27"/>
          <w:rtl w:val="0"/>
        </w:rPr>
        <w:t xml:space="preserve"> Переведення учнів (вихованців</w:t>
      </w:r>
      <w:r w:rsidDel="00000000" w:rsidR="00000000" w:rsidRPr="00000000">
        <w:rPr>
          <w:rFonts w:ascii="Times New Roman" w:cs="Times New Roman" w:eastAsia="Times New Roman" w:hAnsi="Times New Roman"/>
          <w:b w:val="1"/>
          <w:color w:val="010118"/>
          <w:sz w:val="27"/>
          <w:szCs w:val="27"/>
          <w:rtl w:val="0"/>
        </w:rPr>
        <w:t xml:space="preserve"> Рингацького НВК </w:t>
      </w:r>
      <w:r w:rsidDel="00000000" w:rsidR="00000000" w:rsidRPr="00000000">
        <w:rPr>
          <w:rFonts w:ascii="Times New Roman" w:cs="Times New Roman" w:eastAsia="Times New Roman" w:hAnsi="Times New Roman"/>
          <w:color w:val="010118"/>
          <w:sz w:val="27"/>
          <w:szCs w:val="27"/>
          <w:rtl w:val="0"/>
        </w:rPr>
        <w:t xml:space="preserve">до наступного класу здійснюється у порядку, встановленому міністерством відповідного підпорядкування.</w:t>
      </w:r>
    </w:p>
    <w:p w:rsidR="00000000" w:rsidDel="00000000" w:rsidP="00000000" w:rsidRDefault="00000000" w:rsidRPr="00000000" w14:paraId="00000040">
      <w:pPr>
        <w:spacing w:after="0" w:line="240" w:lineRule="auto"/>
        <w:rPr>
          <w:rFonts w:ascii="Times New Roman" w:cs="Times New Roman" w:eastAsia="Times New Roman" w:hAnsi="Times New Roman"/>
          <w:color w:val="010118"/>
          <w:sz w:val="27"/>
          <w:szCs w:val="27"/>
        </w:rPr>
      </w:pPr>
      <w:r w:rsidDel="00000000" w:rsidR="00000000" w:rsidRPr="00000000">
        <w:rPr>
          <w:rFonts w:ascii="Times New Roman" w:cs="Times New Roman" w:eastAsia="Times New Roman" w:hAnsi="Times New Roman"/>
          <w:color w:val="010118"/>
          <w:sz w:val="27"/>
          <w:szCs w:val="27"/>
          <w:rtl w:val="0"/>
        </w:rPr>
        <w:t xml:space="preserve">У разі вибуття учня з населеного пункту батьки або особи, які їх замінюють, подають до закладу заяву із зазначенням причини вибуття.</w:t>
      </w:r>
    </w:p>
    <w:p w:rsidR="00000000" w:rsidDel="00000000" w:rsidP="00000000" w:rsidRDefault="00000000" w:rsidRPr="00000000" w14:paraId="00000041">
      <w:pPr>
        <w:spacing w:after="0" w:line="240" w:lineRule="auto"/>
        <w:rPr>
          <w:rFonts w:ascii="Times New Roman" w:cs="Times New Roman" w:eastAsia="Times New Roman" w:hAnsi="Times New Roman"/>
          <w:color w:val="010118"/>
          <w:sz w:val="27"/>
          <w:szCs w:val="27"/>
        </w:rPr>
      </w:pPr>
      <w:r w:rsidDel="00000000" w:rsidR="00000000" w:rsidRPr="00000000">
        <w:rPr>
          <w:rFonts w:ascii="Times New Roman" w:cs="Times New Roman" w:eastAsia="Times New Roman" w:hAnsi="Times New Roman"/>
          <w:color w:val="010118"/>
          <w:sz w:val="27"/>
          <w:szCs w:val="27"/>
          <w:rtl w:val="0"/>
        </w:rPr>
        <w:t xml:space="preserve">У разі переходу учня до іншого навчального закладу для здобуття загальної середньої освіти батьки або особи, які їх замінюють, подають до закладу освіти заяву із зазначенням причини переходу та довідку, що підтверджує факт зарахування дитини до іншого навчального закладу.</w:t>
      </w:r>
    </w:p>
    <w:p w:rsidR="00000000" w:rsidDel="00000000" w:rsidP="00000000" w:rsidRDefault="00000000" w:rsidRPr="00000000" w14:paraId="00000042">
      <w:pPr>
        <w:spacing w:after="0" w:line="240" w:lineRule="auto"/>
        <w:rPr>
          <w:rFonts w:ascii="Times New Roman" w:cs="Times New Roman" w:eastAsia="Times New Roman" w:hAnsi="Times New Roman"/>
          <w:color w:val="010118"/>
          <w:sz w:val="27"/>
          <w:szCs w:val="27"/>
        </w:rPr>
      </w:pPr>
      <w:r w:rsidDel="00000000" w:rsidR="00000000" w:rsidRPr="00000000">
        <w:rPr>
          <w:rFonts w:ascii="Times New Roman" w:cs="Times New Roman" w:eastAsia="Times New Roman" w:hAnsi="Times New Roman"/>
          <w:b w:val="1"/>
          <w:color w:val="010118"/>
          <w:sz w:val="27"/>
          <w:szCs w:val="27"/>
          <w:rtl w:val="0"/>
        </w:rPr>
        <w:t xml:space="preserve">3.8.</w:t>
      </w:r>
      <w:r w:rsidDel="00000000" w:rsidR="00000000" w:rsidRPr="00000000">
        <w:rPr>
          <w:rFonts w:ascii="Times New Roman" w:cs="Times New Roman" w:eastAsia="Times New Roman" w:hAnsi="Times New Roman"/>
          <w:color w:val="010118"/>
          <w:sz w:val="27"/>
          <w:szCs w:val="27"/>
          <w:rtl w:val="0"/>
        </w:rPr>
        <w:t xml:space="preserve"> Зарахування вихованців в дошкільний підрозділ здійснюється на основі заяви батьків або особи, які їх замінюють, копії свідоцтва про народження дитини та медичної довідки встановленого зразка.</w:t>
      </w:r>
    </w:p>
    <w:p w:rsidR="00000000" w:rsidDel="00000000" w:rsidP="00000000" w:rsidRDefault="00000000" w:rsidRPr="00000000" w14:paraId="00000043">
      <w:pPr>
        <w:spacing w:after="0" w:line="240" w:lineRule="auto"/>
        <w:rPr>
          <w:rFonts w:ascii="Times New Roman" w:cs="Times New Roman" w:eastAsia="Times New Roman" w:hAnsi="Times New Roman"/>
          <w:color w:val="010118"/>
          <w:sz w:val="27"/>
          <w:szCs w:val="27"/>
        </w:rPr>
      </w:pPr>
      <w:r w:rsidDel="00000000" w:rsidR="00000000" w:rsidRPr="00000000">
        <w:rPr>
          <w:rFonts w:ascii="Times New Roman" w:cs="Times New Roman" w:eastAsia="Times New Roman" w:hAnsi="Times New Roman"/>
          <w:b w:val="1"/>
          <w:color w:val="010118"/>
          <w:sz w:val="27"/>
          <w:szCs w:val="27"/>
          <w:rtl w:val="0"/>
        </w:rPr>
        <w:t xml:space="preserve"> </w:t>
      </w: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4"/>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7"/>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4"/>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533EED"/>
  </w:style>
  <w:style w:type="paragraph" w:styleId="2">
    <w:name w:val="heading 2"/>
    <w:basedOn w:val="a"/>
    <w:link w:val="20"/>
    <w:uiPriority w:val="9"/>
    <w:qFormat w:val="1"/>
    <w:rsid w:val="00DB346B"/>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Normal (Web)"/>
    <w:basedOn w:val="a"/>
    <w:uiPriority w:val="99"/>
    <w:semiHidden w:val="1"/>
    <w:unhideWhenUsed w:val="1"/>
    <w:rsid w:val="00DB346B"/>
    <w:pPr>
      <w:spacing w:after="100" w:afterAutospacing="1" w:before="100" w:beforeAutospacing="1" w:line="240" w:lineRule="auto"/>
    </w:pPr>
    <w:rPr>
      <w:rFonts w:ascii="Times New Roman" w:cs="Times New Roman" w:eastAsia="Times New Roman" w:hAnsi="Times New Roman"/>
      <w:sz w:val="24"/>
      <w:szCs w:val="24"/>
      <w:lang w:eastAsia="ru-RU"/>
    </w:rPr>
  </w:style>
  <w:style w:type="character" w:styleId="a4">
    <w:name w:val="Strong"/>
    <w:basedOn w:val="a0"/>
    <w:uiPriority w:val="22"/>
    <w:qFormat w:val="1"/>
    <w:rsid w:val="00DB346B"/>
    <w:rPr>
      <w:b w:val="1"/>
      <w:bCs w:val="1"/>
    </w:rPr>
  </w:style>
  <w:style w:type="character" w:styleId="a5">
    <w:name w:val="Emphasis"/>
    <w:basedOn w:val="a0"/>
    <w:uiPriority w:val="20"/>
    <w:qFormat w:val="1"/>
    <w:rsid w:val="00DB346B"/>
    <w:rPr>
      <w:i w:val="1"/>
      <w:iCs w:val="1"/>
    </w:rPr>
  </w:style>
  <w:style w:type="character" w:styleId="a6">
    <w:name w:val="Hyperlink"/>
    <w:basedOn w:val="a0"/>
    <w:uiPriority w:val="99"/>
    <w:semiHidden w:val="1"/>
    <w:unhideWhenUsed w:val="1"/>
    <w:rsid w:val="00DB346B"/>
    <w:rPr>
      <w:color w:val="0000ff"/>
      <w:u w:val="single"/>
    </w:rPr>
  </w:style>
  <w:style w:type="character" w:styleId="20" w:customStyle="1">
    <w:name w:val="Заголовок 2 Знак"/>
    <w:basedOn w:val="a0"/>
    <w:link w:val="2"/>
    <w:uiPriority w:val="9"/>
    <w:rsid w:val="00DB346B"/>
    <w:rPr>
      <w:rFonts w:ascii="Times New Roman" w:cs="Times New Roman" w:eastAsia="Times New Roman" w:hAnsi="Times New Roman"/>
      <w:b w:val="1"/>
      <w:bCs w:val="1"/>
      <w:sz w:val="36"/>
      <w:szCs w:val="36"/>
      <w:lang w:eastAsia="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zakon2.rada.gov.ua/laws/show/2145-19/paran1352#n1352" TargetMode="External"/><Relationship Id="rId10" Type="http://schemas.openxmlformats.org/officeDocument/2006/relationships/hyperlink" Target="http://zakon2.rada.gov.ua/laws/show/3701-17" TargetMode="External"/><Relationship Id="rId13" Type="http://schemas.openxmlformats.org/officeDocument/2006/relationships/hyperlink" Target="http://zakon2.rada.gov.ua/laws/show/2145-19/paran1355#n1355" TargetMode="External"/><Relationship Id="rId12" Type="http://schemas.openxmlformats.org/officeDocument/2006/relationships/hyperlink" Target="http://zakon2.rada.gov.ua/laws/show/2145-1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zakon2.rada.gov.ua/laws/show/2145-19/paran1351#n1351"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zakon2.rada.gov.ua/laws/show/2145-19/paran1346#n1346" TargetMode="External"/><Relationship Id="rId8" Type="http://schemas.openxmlformats.org/officeDocument/2006/relationships/hyperlink" Target="http://zakon2.rada.gov.ua/laws/show/2145-19/paran1347#n134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IG1j79LAHgWDRSry1CaYjzjZjw==">AMUW2mW+AqfEhyOW7npnQf8Arnu7lxWP4jGmcyjTsdxM1ufnUubr5ctlDr7cJIeJB8FzVf4HYj0llALVCfE9sTC2eZ5O8srhWDblw+fE8/Mr2bLldNkQvqk=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2020-06-05T08:49:00Z</dcterms:created>
  <dc:creator>user</dc:creator>
</cp:coreProperties>
</file>