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BF4D40" w:rsidRPr="00BF4D40" w14:paraId="38FAB713" w14:textId="77777777" w:rsidTr="00856DDD">
        <w:trPr>
          <w:trHeight w:val="2265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14:paraId="17912011" w14:textId="77777777" w:rsidR="00856DDD" w:rsidRPr="00BF4D40" w:rsidRDefault="00BF4D40" w:rsidP="00BF4D4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4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87330" wp14:editId="0417B0DD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7E220" w14:textId="77777777" w:rsidR="00BF4D40" w:rsidRPr="00BF4D40" w:rsidRDefault="00856DDD" w:rsidP="00856DDD">
            <w:pPr>
              <w:spacing w:before="300" w:after="0" w:line="240" w:lineRule="auto"/>
              <w:ind w:left="1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40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14:paraId="054E1864" w14:textId="77777777" w:rsidR="00BF4D40" w:rsidRPr="00BF4D40" w:rsidRDefault="00BF4D40" w:rsidP="00BF4D4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"/>
      <w:bookmarkEnd w:id="1"/>
      <w:r w:rsidRPr="00BF4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BF4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організації</w:t>
      </w:r>
      <w:proofErr w:type="spellEnd"/>
    </w:p>
    <w:p w14:paraId="200A688E" w14:textId="77777777" w:rsidR="00BF4D40" w:rsidRPr="00BF4D40" w:rsidRDefault="00BF4D40" w:rsidP="00BF4D4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Відомості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Верховної</w:t>
      </w:r>
      <w:proofErr w:type="spellEnd"/>
      <w:proofErr w:type="gram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 </w:t>
      </w:r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(ВВР), 1999, № 1, ст.2)</w:t>
      </w:r>
    </w:p>
    <w:p w14:paraId="4A59DA37" w14:textId="77777777" w:rsidR="00BF4D40" w:rsidRPr="00BF4D40" w:rsidRDefault="00BF4D40" w:rsidP="00BF4D40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неконституційними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див.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 </w:t>
      </w:r>
      <w:hyperlink r:id="rId5" w:tgtFrame="_blank" w:history="1"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18-рп/2001 </w:t>
        </w:r>
        <w:proofErr w:type="spellStart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13.12.2001</w:t>
        </w:r>
      </w:hyperlink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14:paraId="74154685" w14:textId="77777777" w:rsidR="00BF4D40" w:rsidRPr="00BF4D40" w:rsidRDefault="00BF4D40" w:rsidP="00BF4D40">
      <w:pPr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</w:t>
      </w:r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ВВР, 2006, № 50, ст.501</w:t>
      </w:r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2749-VI </w:t>
        </w:r>
        <w:proofErr w:type="spellStart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02.12.2010</w:t>
        </w:r>
      </w:hyperlink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ВВР, 2011, № 18, ст.125</w:t>
      </w:r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1697-VII </w:t>
        </w:r>
        <w:proofErr w:type="spellStart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14.10.2014</w:t>
        </w:r>
      </w:hyperlink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ВВР, 2015, № 2-3, ст.12</w:t>
      </w:r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№ 835-VIII </w:t>
        </w:r>
        <w:proofErr w:type="spellStart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26.11.2015</w:t>
        </w:r>
      </w:hyperlink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ВВР, 2016, № 2, ст.17}</w:t>
      </w:r>
    </w:p>
    <w:p w14:paraId="6F3F54A6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9F59B7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1. 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</w:p>
    <w:p w14:paraId="5B41B398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 </w:t>
      </w:r>
      <w:proofErr w:type="spellStart"/>
      <w:r w:rsidR="0079600C">
        <w:fldChar w:fldCharType="begin"/>
      </w:r>
      <w:r w:rsidR="0079600C">
        <w:instrText xml:space="preserve"> HYPERLINK "https://zakon.rada.gov.ua/laws/show/254%D0%BA/96-%D0%B2%D1%80" \t "_blank" </w:instrText>
      </w:r>
      <w:r w:rsidR="0079600C">
        <w:fldChar w:fldCharType="separate"/>
      </w:r>
      <w:r w:rsidRPr="00BF4D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Конституції</w:t>
      </w:r>
      <w:proofErr w:type="spellEnd"/>
      <w:r w:rsidRPr="00BF4D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="007960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history="1"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93C0A3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2. 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термінів</w:t>
      </w:r>
      <w:proofErr w:type="spellEnd"/>
    </w:p>
    <w:p w14:paraId="7951EEB3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3F3FCA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до 35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метою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7F1568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{Абзац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другий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Законом </w:t>
      </w:r>
      <w:hyperlink r:id="rId11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1664F546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4"/>
      <w:bookmarkEnd w:id="12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 18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метою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і свобод,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суперечать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соціальне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повноправних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2244A3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Положення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абзацу четвертого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втратили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чинність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як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є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неконституційними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підставі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Рішення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Конституційного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Суду </w:t>
      </w:r>
      <w:hyperlink r:id="rId12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18-рп/2001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13.12.2001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4FB0029F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об’єднує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легалізованих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616CB2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3. 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</w:p>
    <w:p w14:paraId="6A93C7D2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утворюються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засадах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рівноправності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65B75A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свою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 формах</w:t>
      </w:r>
      <w:proofErr w:type="gram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суперечать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37DF65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статутах</w:t>
      </w:r>
      <w:proofErr w:type="gram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склад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є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конфіденційною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охороняється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14:paraId="21820E85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4. 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спілок</w:t>
      </w:r>
      <w:proofErr w:type="spellEnd"/>
    </w:p>
    <w:p w14:paraId="1573BC37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Засновниками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іноземці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особи без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досягли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14-річного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0850CA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Частина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перша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Законом </w:t>
      </w:r>
      <w:hyperlink r:id="rId13" w:anchor="n981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835-VIII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26.11.2015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1E1021D0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Засновниками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спілок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EDE687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5. </w:t>
      </w:r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Членство в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</w:p>
    <w:p w14:paraId="20B1AB34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Членство в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019B91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доповнено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частиною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першою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Законом </w:t>
      </w:r>
      <w:hyperlink r:id="rId14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67B9F3EC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Членство в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фіксованим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нефіксованим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CF944D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доповнено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частиною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другою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Законом </w:t>
      </w:r>
      <w:hyperlink r:id="rId15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2D793992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іноземці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особи без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громадянства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підставах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A26996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Частина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третя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Законом </w:t>
      </w:r>
      <w:hyperlink r:id="rId16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57B96746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особи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до 35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 18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усиновителів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опікунів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піклувальників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Особи старшого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членами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відсотків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старшого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третину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BC2B7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Частина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четверта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Законами </w:t>
      </w:r>
      <w:hyperlink r:id="rId17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hyperlink r:id="rId18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2749-VI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02.12.2010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0429E1F7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2" w:name="n34"/>
      <w:bookmarkEnd w:id="32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Частину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п’яту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виключено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підставі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Закону </w:t>
      </w:r>
      <w:hyperlink r:id="rId19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2749-VI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02.12.2010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55CE8165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46D029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доповнено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частиною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шостою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Законом </w:t>
      </w:r>
      <w:hyperlink r:id="rId20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2DACB83F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статутами.</w:t>
      </w:r>
    </w:p>
    <w:p w14:paraId="56250C65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доповнено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частиною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сьомою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Законом </w:t>
      </w:r>
      <w:hyperlink r:id="rId21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665971C7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6. </w:t>
      </w:r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</w:p>
    <w:p w14:paraId="106EDF80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спілок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та </w:t>
      </w:r>
      <w:hyperlink r:id="rId22" w:tgtFrame="_blank" w:history="1"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0880DCD0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Положення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другої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втратили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чинність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як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є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неконституційними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підставі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Рішення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Конституційного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Суду </w:t>
      </w:r>
      <w:hyperlink r:id="rId23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18-рп/2001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13.12.2001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 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рух в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координується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неурядовою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всеукраїнської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A3CA96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статутом.</w:t>
      </w:r>
    </w:p>
    <w:p w14:paraId="709FD114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асоціацій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є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підставою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24DE62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7. </w:t>
      </w:r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</w:p>
    <w:p w14:paraId="277421A8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користуються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tgtFrame="_blank" w:history="1"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  <w:proofErr w:type="spellStart"/>
        <w:r w:rsidRPr="00BF4D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14:paraId="2D3BEB85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утворювати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блоки.</w:t>
      </w:r>
    </w:p>
    <w:p w14:paraId="6EC71DB6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5" w:name="n47"/>
      <w:bookmarkEnd w:id="45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Частину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7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виключено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підставі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Закону </w:t>
      </w:r>
      <w:hyperlink r:id="rId25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2749-VI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02.12.2010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67CBCB7F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спрямовуються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спілок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є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4AB50F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8. </w:t>
      </w:r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Участь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підготовці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</w:p>
    <w:p w14:paraId="1D10C5D6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органами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825DDD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ініціатори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порядку</w:t>
      </w:r>
      <w:proofErr w:type="gram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14:paraId="4F57A6D3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2"/>
      <w:bookmarkEnd w:id="50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доповнено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частиною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другою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Законом </w:t>
      </w:r>
      <w:hyperlink r:id="rId26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2749-VI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02.12.2010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70A7C7B0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9. 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</w:p>
    <w:p w14:paraId="6FA49F60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формах:</w:t>
      </w:r>
    </w:p>
    <w:p w14:paraId="19830A35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5"/>
      <w:bookmarkEnd w:id="53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2B4F1F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6"/>
      <w:bookmarkEnd w:id="54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87371F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7"/>
      <w:bookmarkEnd w:id="55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5A7874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8"/>
      <w:bookmarkEnd w:id="56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звільняються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CBCBF6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9"/>
      <w:bookmarkEnd w:id="57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суперечать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5C83B2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0"/>
      <w:bookmarkEnd w:id="58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10. 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</w:p>
    <w:p w14:paraId="5F3509A5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1"/>
      <w:bookmarkEnd w:id="59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спілок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</w:t>
      </w:r>
      <w:proofErr w:type="gram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14:paraId="10BFF1CF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2"/>
      <w:bookmarkEnd w:id="60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Частина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перша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 в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Закону </w:t>
      </w:r>
      <w:hyperlink r:id="rId27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2EAC5722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3"/>
      <w:bookmarkEnd w:id="61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потреб.</w:t>
      </w:r>
    </w:p>
    <w:p w14:paraId="24979163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4"/>
      <w:bookmarkEnd w:id="62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Частина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друга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10 в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редакції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Закону </w:t>
      </w:r>
      <w:hyperlink r:id="rId28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271-V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19.10.2006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p w14:paraId="65B15B3A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5"/>
      <w:bookmarkEnd w:id="63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передбачаються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05BF39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делегувати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реалізацією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85D0E9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цільове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надавали,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органами.</w:t>
      </w:r>
    </w:p>
    <w:p w14:paraId="43AC675E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11. 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</w:p>
    <w:p w14:paraId="48064A21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56AAAE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спілкам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нецільове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DEB51E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proofErr w:type="spellStart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</w:t>
      </w:r>
      <w:proofErr w:type="spellEnd"/>
      <w:r w:rsidRPr="00BF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12. 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14:paraId="29D72CEC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E3184D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" нормативно-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суперечить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Закону.</w:t>
      </w:r>
    </w:p>
    <w:p w14:paraId="29280F27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двомісячний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DA0218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до </w:t>
      </w:r>
      <w:proofErr w:type="spellStart"/>
      <w:proofErr w:type="gram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proofErr w:type="gram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14:paraId="468F0BAA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6"/>
      <w:bookmarkEnd w:id="74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Законом;</w:t>
      </w:r>
    </w:p>
    <w:p w14:paraId="78BF5465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перегляд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нормативно-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Закону;</w:t>
      </w:r>
    </w:p>
    <w:p w14:paraId="5F15919D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</w:t>
      </w:r>
    </w:p>
    <w:p w14:paraId="598015AA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9"/>
      <w:bookmarkEnd w:id="77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спілок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Законом. За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поданням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легалізуючого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спілок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статутні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суперечать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Закону, </w:t>
      </w:r>
      <w:proofErr w:type="spell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заборонена </w:t>
      </w:r>
      <w:proofErr w:type="gramStart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судовому порядку</w:t>
      </w:r>
      <w:proofErr w:type="gramEnd"/>
      <w:r w:rsidRPr="00BF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CC0E99" w14:textId="77777777" w:rsidR="00BF4D40" w:rsidRPr="00BF4D40" w:rsidRDefault="00BF4D40" w:rsidP="00BF4D4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{Пункт 4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статті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12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змінами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внесеними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згідно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із</w:t>
      </w:r>
      <w:proofErr w:type="spellEnd"/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Законом </w:t>
      </w:r>
      <w:hyperlink r:id="rId29" w:anchor="n1138" w:tgtFrame="_blank" w:history="1"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№ 1697-VII </w:t>
        </w:r>
        <w:proofErr w:type="spellStart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BF4D4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14.10.2014</w:t>
        </w:r>
      </w:hyperlink>
      <w:r w:rsidRPr="00BF4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}</w:t>
      </w:r>
    </w:p>
    <w:tbl>
      <w:tblPr>
        <w:tblW w:w="5004" w:type="pct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856DDD" w:rsidRPr="00BF4D40" w14:paraId="14CC40F4" w14:textId="77777777" w:rsidTr="00856DDD">
        <w:trPr>
          <w:trHeight w:val="2009"/>
        </w:trPr>
        <w:tc>
          <w:tcPr>
            <w:tcW w:w="5000" w:type="pct"/>
            <w:tcBorders>
              <w:top w:val="nil"/>
            </w:tcBorders>
            <w:hideMark/>
          </w:tcPr>
          <w:p w14:paraId="2C58D661" w14:textId="77777777" w:rsidR="00856DDD" w:rsidRPr="00BF4D40" w:rsidRDefault="00856DDD" w:rsidP="00856DDD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n81"/>
            <w:bookmarkEnd w:id="79"/>
            <w:r w:rsidRPr="00BF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BF4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856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Л.КУЧМА</w:t>
            </w:r>
          </w:p>
          <w:p w14:paraId="67251610" w14:textId="77777777" w:rsidR="00856DDD" w:rsidRPr="00BF4D40" w:rsidRDefault="00856DDD" w:rsidP="00856DDD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F4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Київ</w:t>
            </w:r>
            <w:proofErr w:type="spellEnd"/>
            <w:r w:rsidRPr="00BF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F4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F4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грудня</w:t>
            </w:r>
            <w:proofErr w:type="spellEnd"/>
            <w:r w:rsidRPr="00BF4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1998 року</w:t>
            </w:r>
            <w:r w:rsidRPr="00BF4D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F4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281-XIV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AE47BA5" w14:textId="77777777" w:rsidR="00762DA2" w:rsidRDefault="00762DA2"/>
    <w:sectPr w:rsidR="00762DA2" w:rsidSect="0079600C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DF"/>
    <w:rsid w:val="001524DF"/>
    <w:rsid w:val="00762DA2"/>
    <w:rsid w:val="0079600C"/>
    <w:rsid w:val="00856DDD"/>
    <w:rsid w:val="00B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9662"/>
  <w15:docId w15:val="{D828DAEA-62DD-4035-99E9-DDA74422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7-18" TargetMode="External"/><Relationship Id="rId13" Type="http://schemas.openxmlformats.org/officeDocument/2006/relationships/hyperlink" Target="https://zakon.rada.gov.ua/laws/show/835-19" TargetMode="External"/><Relationship Id="rId18" Type="http://schemas.openxmlformats.org/officeDocument/2006/relationships/hyperlink" Target="https://zakon.rada.gov.ua/laws/show/2749-17" TargetMode="External"/><Relationship Id="rId26" Type="http://schemas.openxmlformats.org/officeDocument/2006/relationships/hyperlink" Target="https://zakon.rada.gov.ua/laws/show/2749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71-16" TargetMode="External"/><Relationship Id="rId7" Type="http://schemas.openxmlformats.org/officeDocument/2006/relationships/hyperlink" Target="https://zakon.rada.gov.ua/laws/show/2749-17" TargetMode="External"/><Relationship Id="rId12" Type="http://schemas.openxmlformats.org/officeDocument/2006/relationships/hyperlink" Target="https://zakon.rada.gov.ua/laws/show/v018p710-01" TargetMode="External"/><Relationship Id="rId17" Type="http://schemas.openxmlformats.org/officeDocument/2006/relationships/hyperlink" Target="https://zakon.rada.gov.ua/laws/show/271-16" TargetMode="External"/><Relationship Id="rId25" Type="http://schemas.openxmlformats.org/officeDocument/2006/relationships/hyperlink" Target="https://zakon.rada.gov.ua/laws/show/2749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71-16" TargetMode="External"/><Relationship Id="rId20" Type="http://schemas.openxmlformats.org/officeDocument/2006/relationships/hyperlink" Target="https://zakon.rada.gov.ua/laws/show/271-16" TargetMode="External"/><Relationship Id="rId29" Type="http://schemas.openxmlformats.org/officeDocument/2006/relationships/hyperlink" Target="https://zakon.rada.gov.ua/laws/show/1697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1-16" TargetMode="External"/><Relationship Id="rId11" Type="http://schemas.openxmlformats.org/officeDocument/2006/relationships/hyperlink" Target="https://zakon.rada.gov.ua/laws/show/271-16" TargetMode="External"/><Relationship Id="rId24" Type="http://schemas.openxmlformats.org/officeDocument/2006/relationships/hyperlink" Target="https://zakon.rada.gov.ua/laws/show/2460-12" TargetMode="External"/><Relationship Id="rId5" Type="http://schemas.openxmlformats.org/officeDocument/2006/relationships/hyperlink" Target="https://zakon.rada.gov.ua/laws/show/v018p710-01" TargetMode="External"/><Relationship Id="rId15" Type="http://schemas.openxmlformats.org/officeDocument/2006/relationships/hyperlink" Target="https://zakon.rada.gov.ua/laws/show/271-16" TargetMode="External"/><Relationship Id="rId23" Type="http://schemas.openxmlformats.org/officeDocument/2006/relationships/hyperlink" Target="https://zakon.rada.gov.ua/laws/show/v018p710-01" TargetMode="External"/><Relationship Id="rId28" Type="http://schemas.openxmlformats.org/officeDocument/2006/relationships/hyperlink" Target="https://zakon.rada.gov.ua/laws/show/271-16" TargetMode="External"/><Relationship Id="rId10" Type="http://schemas.openxmlformats.org/officeDocument/2006/relationships/hyperlink" Target="https://zakon.rada.gov.ua/laws/show/2460-12" TargetMode="External"/><Relationship Id="rId19" Type="http://schemas.openxmlformats.org/officeDocument/2006/relationships/hyperlink" Target="https://zakon.rada.gov.ua/laws/show/2749-17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835-19" TargetMode="External"/><Relationship Id="rId14" Type="http://schemas.openxmlformats.org/officeDocument/2006/relationships/hyperlink" Target="https://zakon.rada.gov.ua/laws/show/271-16" TargetMode="External"/><Relationship Id="rId22" Type="http://schemas.openxmlformats.org/officeDocument/2006/relationships/hyperlink" Target="https://zakon.rada.gov.ua/laws/show/2460-12" TargetMode="External"/><Relationship Id="rId27" Type="http://schemas.openxmlformats.org/officeDocument/2006/relationships/hyperlink" Target="https://zakon.rada.gov.ua/laws/show/271-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2044</Words>
  <Characters>11653</Characters>
  <Application>Microsoft Office Word</Application>
  <DocSecurity>0</DocSecurity>
  <Lines>97</Lines>
  <Paragraphs>27</Paragraphs>
  <ScaleCrop>false</ScaleCrop>
  <Company>HP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dcterms:created xsi:type="dcterms:W3CDTF">2021-10-12T09:53:00Z</dcterms:created>
  <dcterms:modified xsi:type="dcterms:W3CDTF">2021-10-12T09:53:00Z</dcterms:modified>
</cp:coreProperties>
</file>