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6F" w:rsidRPr="0065127D" w:rsidRDefault="00223F6F" w:rsidP="00223F6F">
      <w:pPr>
        <w:shd w:val="clear" w:color="auto" w:fill="EEF2F5"/>
        <w:spacing w:after="0" w:line="240" w:lineRule="auto"/>
        <w:ind w:right="2174"/>
        <w:outlineLvl w:val="0"/>
        <w:rPr>
          <w:rFonts w:ascii="Arial" w:eastAsia="Times New Roman" w:hAnsi="Arial" w:cs="Arial"/>
          <w:b/>
          <w:color w:val="111111"/>
          <w:kern w:val="36"/>
          <w:sz w:val="25"/>
          <w:szCs w:val="25"/>
        </w:rPr>
      </w:pPr>
      <w:r>
        <w:rPr>
          <w:rFonts w:ascii="Arial" w:eastAsia="Times New Roman" w:hAnsi="Arial" w:cs="Arial"/>
          <w:color w:val="111111"/>
          <w:kern w:val="36"/>
          <w:sz w:val="25"/>
          <w:szCs w:val="25"/>
        </w:rPr>
        <w:t xml:space="preserve">                               </w:t>
      </w:r>
      <w:r w:rsidRPr="0065127D">
        <w:rPr>
          <w:rFonts w:ascii="Arial" w:eastAsia="Times New Roman" w:hAnsi="Arial" w:cs="Arial"/>
          <w:b/>
          <w:color w:val="111111"/>
          <w:kern w:val="36"/>
          <w:sz w:val="25"/>
          <w:szCs w:val="25"/>
        </w:rPr>
        <w:t xml:space="preserve">ПРОТИДІЯ </w:t>
      </w:r>
      <w:proofErr w:type="gramStart"/>
      <w:r w:rsidRPr="0065127D">
        <w:rPr>
          <w:rFonts w:ascii="Arial" w:eastAsia="Times New Roman" w:hAnsi="Arial" w:cs="Arial"/>
          <w:b/>
          <w:color w:val="111111"/>
          <w:kern w:val="36"/>
          <w:sz w:val="25"/>
          <w:szCs w:val="25"/>
        </w:rPr>
        <w:t>БУЛ</w:t>
      </w:r>
      <w:proofErr w:type="gramEnd"/>
      <w:r w:rsidRPr="0065127D">
        <w:rPr>
          <w:rFonts w:ascii="Arial" w:eastAsia="Times New Roman" w:hAnsi="Arial" w:cs="Arial"/>
          <w:b/>
          <w:color w:val="111111"/>
          <w:kern w:val="36"/>
          <w:sz w:val="25"/>
          <w:szCs w:val="25"/>
        </w:rPr>
        <w:t>ІНГУ</w:t>
      </w:r>
    </w:p>
    <w:p w:rsidR="00223F6F" w:rsidRPr="006C03B2" w:rsidRDefault="00223F6F" w:rsidP="00223F6F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hyperlink r:id="rId5" w:anchor="w1_1" w:history="1">
        <w:proofErr w:type="spellStart"/>
        <w:proofErr w:type="gram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Бул</w:t>
        </w:r>
        <w:proofErr w:type="gram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інг</w:t>
        </w:r>
        <w:proofErr w:type="spellEnd"/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(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цькування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) –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дії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учасників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освітнього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процесу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які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полягають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у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психологічному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фізичному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економічному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чи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сексуальному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.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Такі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дії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вчиняються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стосовно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дитини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чи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дитиною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стосовно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інших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учасників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освітнього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процесу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внаслідок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чого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може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бути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заподіяна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шкода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психічному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чи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фізичному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здоров’ю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потерпілого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.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інг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може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здійснюватись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також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із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застосуванням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засобів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електронних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комунікацій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. </w:t>
      </w:r>
    </w:p>
    <w:p w:rsidR="00223F6F" w:rsidRPr="006C03B2" w:rsidRDefault="00223F6F" w:rsidP="00223F6F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ЮНІСЕФ </w:t>
      </w:r>
      <w:proofErr w:type="spellStart"/>
      <w:r>
        <w:fldChar w:fldCharType="begin"/>
      </w:r>
      <w:r>
        <w:instrText>HYPERLINK "https://www.stopbullying.com.ua/adults/about"</w:instrText>
      </w:r>
      <w:r>
        <w:fldChar w:fldCharType="separate"/>
      </w:r>
      <w:r w:rsidRPr="006C03B2">
        <w:rPr>
          <w:rFonts w:ascii="Tahoma" w:eastAsia="Times New Roman" w:hAnsi="Tahoma" w:cs="Tahoma"/>
          <w:color w:val="326693"/>
          <w:sz w:val="16"/>
          <w:u w:val="single"/>
        </w:rPr>
        <w:t>визначає</w:t>
      </w:r>
      <w:proofErr w:type="spellEnd"/>
      <w:r>
        <w:fldChar w:fldCharType="end"/>
      </w:r>
      <w:r w:rsidRPr="006C03B2">
        <w:rPr>
          <w:rFonts w:ascii="Tahoma" w:eastAsia="Times New Roman" w:hAnsi="Tahoma" w:cs="Tahoma"/>
          <w:color w:val="111111"/>
          <w:sz w:val="16"/>
          <w:szCs w:val="16"/>
        </w:rPr>
        <w:t> 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інг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(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від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анг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.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to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bull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–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переслідувати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) як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небажану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агресивну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поведінку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дітей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шкільного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віку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яка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призводить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до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цькування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дитини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іншою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дитиною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чи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групою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дітей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метою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приниження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залякування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та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демонстрації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сили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.</w:t>
      </w:r>
    </w:p>
    <w:p w:rsidR="00223F6F" w:rsidRPr="006C03B2" w:rsidRDefault="00223F6F" w:rsidP="00223F6F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прикладами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уроків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протидії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булінгу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в закладах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та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відповідним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системним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підходом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можна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ознайомитись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 </w:t>
      </w:r>
      <w:hyperlink r:id="rId6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за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посиланням</w:t>
        </w:r>
        <w:proofErr w:type="spellEnd"/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.</w:t>
      </w:r>
    </w:p>
    <w:p w:rsidR="00223F6F" w:rsidRPr="006C03B2" w:rsidRDefault="00223F6F" w:rsidP="00223F6F">
      <w:pPr>
        <w:shd w:val="clear" w:color="auto" w:fill="FFFFFF"/>
        <w:spacing w:before="204" w:after="136" w:line="240" w:lineRule="auto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6C03B2">
        <w:rPr>
          <w:rFonts w:ascii="Arial" w:eastAsia="Times New Roman" w:hAnsi="Arial" w:cs="Arial"/>
          <w:b/>
          <w:bCs/>
          <w:color w:val="111111"/>
          <w:sz w:val="20"/>
          <w:szCs w:val="20"/>
        </w:rPr>
        <w:t>СИТУАЦІЯ В УКРАЇНІ</w:t>
      </w:r>
    </w:p>
    <w:p w:rsidR="00223F6F" w:rsidRPr="006C03B2" w:rsidRDefault="00223F6F" w:rsidP="00223F6F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Відповідно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до </w:t>
      </w:r>
      <w:proofErr w:type="spellStart"/>
      <w:r>
        <w:fldChar w:fldCharType="begin"/>
      </w:r>
      <w:r>
        <w:instrText>HYPERLINK "https://www.unicef.org/ukraine/bullying-cyberbylling-teens-Ukraine"</w:instrText>
      </w:r>
      <w:r>
        <w:fldChar w:fldCharType="separate"/>
      </w:r>
      <w:proofErr w:type="gramStart"/>
      <w:r w:rsidRPr="006C03B2">
        <w:rPr>
          <w:rFonts w:ascii="Tahoma" w:eastAsia="Times New Roman" w:hAnsi="Tahoma" w:cs="Tahoma"/>
          <w:color w:val="326693"/>
          <w:sz w:val="16"/>
          <w:u w:val="single"/>
        </w:rPr>
        <w:t>досл</w:t>
      </w:r>
      <w:proofErr w:type="gramEnd"/>
      <w:r w:rsidRPr="006C03B2">
        <w:rPr>
          <w:rFonts w:ascii="Tahoma" w:eastAsia="Times New Roman" w:hAnsi="Tahoma" w:cs="Tahoma"/>
          <w:color w:val="326693"/>
          <w:sz w:val="16"/>
          <w:u w:val="single"/>
        </w:rPr>
        <w:t>ідження</w:t>
      </w:r>
      <w:proofErr w:type="spellEnd"/>
      <w:r>
        <w:fldChar w:fldCharType="end"/>
      </w:r>
      <w:r w:rsidRPr="006C03B2">
        <w:rPr>
          <w:rFonts w:ascii="Tahoma" w:eastAsia="Times New Roman" w:hAnsi="Tahoma" w:cs="Tahoma"/>
          <w:color w:val="111111"/>
          <w:sz w:val="16"/>
          <w:szCs w:val="16"/>
        </w:rPr>
        <w:t> ЮНІСЕФ: </w:t>
      </w:r>
    </w:p>
    <w:p w:rsidR="00223F6F" w:rsidRPr="006C03B2" w:rsidRDefault="00223F6F" w:rsidP="00223F6F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67%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дітей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в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Україні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у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віці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від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11 до 17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років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стикалися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проблемою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інгу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;</w:t>
      </w:r>
    </w:p>
    <w:p w:rsidR="00223F6F" w:rsidRPr="006C03B2" w:rsidRDefault="00223F6F" w:rsidP="00223F6F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24%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дітей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стали жертвами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інгу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; </w:t>
      </w:r>
    </w:p>
    <w:p w:rsidR="00223F6F" w:rsidRPr="006C03B2" w:rsidRDefault="00223F6F" w:rsidP="00223F6F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48%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дітей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нікому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не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розповідали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про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випадки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інгу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;</w:t>
      </w:r>
    </w:p>
    <w:p w:rsidR="00223F6F" w:rsidRPr="006C03B2" w:rsidRDefault="00223F6F" w:rsidP="00223F6F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44%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школярів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спостерігачами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інгу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але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ігнорували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його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їм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страшно за себе;</w:t>
      </w:r>
    </w:p>
    <w:p w:rsidR="00223F6F" w:rsidRPr="006C03B2" w:rsidRDefault="00223F6F" w:rsidP="00223F6F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ільшість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дітей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булять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за те,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що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вони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виглядають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говорять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думають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не так, як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інші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. </w:t>
      </w:r>
    </w:p>
    <w:p w:rsidR="00223F6F" w:rsidRPr="006C03B2" w:rsidRDefault="00223F6F" w:rsidP="00223F6F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hyperlink r:id="rId7" w:history="1"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Навчально-методичний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proofErr w:type="spellStart"/>
        <w:proofErr w:type="gram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пос</w:t>
        </w:r>
        <w:proofErr w:type="gram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ібник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«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Запобігання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та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протидія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проявам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насильства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: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діяльність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закладів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освіти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»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.</w:t>
      </w:r>
    </w:p>
    <w:p w:rsidR="00223F6F" w:rsidRPr="006C03B2" w:rsidRDefault="00223F6F" w:rsidP="00223F6F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В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Розділі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І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пос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ібника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розміщено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навчальну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програму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Запобігання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та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протидія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проявам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: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діяльність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закладів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» для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слухачів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очної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форми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навчання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в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системі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післядипломної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педагогічної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.</w:t>
      </w:r>
    </w:p>
    <w:p w:rsidR="00223F6F" w:rsidRPr="006C03B2" w:rsidRDefault="00223F6F" w:rsidP="00223F6F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Розділ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ІІ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містить</w:t>
      </w:r>
      <w:proofErr w:type="spellEnd"/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теоретичний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та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практичний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матеріал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для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викладання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Програми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.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Даний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матер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іал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структуровано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відповідно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до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тематичних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модулей.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Особливу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увагу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приділено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визначенню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та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розмежуванню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понять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»,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жорстоке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поводження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»,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ґендерно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зумовлене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»,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ґендерна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івність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»,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дискримінація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»,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домашнє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»,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булінг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»;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формуванню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навичок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ідентифікації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постраждалих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від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жорстокого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поводження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ґендерно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зумовленого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домашнього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,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булінгу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.</w:t>
      </w:r>
    </w:p>
    <w:p w:rsidR="00223F6F" w:rsidRPr="006C03B2" w:rsidRDefault="00223F6F" w:rsidP="00223F6F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Розділ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ІІІ </w:t>
      </w:r>
      <w:proofErr w:type="spellStart"/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містить</w:t>
      </w:r>
      <w:proofErr w:type="spellEnd"/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методичні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розробки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: «Структуру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програми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циклу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тренінгів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gram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для</w:t>
      </w:r>
      <w:proofErr w:type="gram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педагогів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Запобігання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та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протидія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проявам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: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діяльність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закладів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» та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Тренінг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для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батьків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здобувачів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та персоналу закладу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«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Протидія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та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реагування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на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випадки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насильства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 xml:space="preserve"> над </w:t>
      </w:r>
      <w:proofErr w:type="spellStart"/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дітьми</w:t>
      </w:r>
      <w:proofErr w:type="spellEnd"/>
      <w:r w:rsidRPr="006C03B2">
        <w:rPr>
          <w:rFonts w:ascii="Tahoma" w:eastAsia="Times New Roman" w:hAnsi="Tahoma" w:cs="Tahoma"/>
          <w:color w:val="111111"/>
          <w:sz w:val="16"/>
          <w:szCs w:val="16"/>
        </w:rPr>
        <w:t>».</w:t>
      </w:r>
    </w:p>
    <w:p w:rsidR="00223F6F" w:rsidRPr="006C03B2" w:rsidRDefault="00223F6F" w:rsidP="00223F6F">
      <w:pPr>
        <w:numPr>
          <w:ilvl w:val="0"/>
          <w:numId w:val="3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8" w:history="1"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Безпечна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школа -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Нік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Вуйчич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(ВІДЕО)</w:t>
        </w:r>
      </w:hyperlink>
    </w:p>
    <w:p w:rsidR="00223F6F" w:rsidRDefault="00223F6F" w:rsidP="00223F6F">
      <w:pPr>
        <w:numPr>
          <w:ilvl w:val="0"/>
          <w:numId w:val="3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9" w:history="1"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Корисні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посилання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щодо</w:t>
        </w:r>
        <w:proofErr w:type="spellEnd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 xml:space="preserve"> теми </w:t>
        </w:r>
        <w:proofErr w:type="spellStart"/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антибулінгу</w:t>
        </w:r>
        <w:proofErr w:type="spellEnd"/>
      </w:hyperlink>
    </w:p>
    <w:p w:rsidR="00000000" w:rsidRDefault="00223F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78F"/>
    <w:multiLevelType w:val="multilevel"/>
    <w:tmpl w:val="2AA6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F1010"/>
    <w:multiLevelType w:val="multilevel"/>
    <w:tmpl w:val="2B14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61833"/>
    <w:multiLevelType w:val="multilevel"/>
    <w:tmpl w:val="10E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3F6F"/>
    <w:rsid w:val="0022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protidiya-bulingu/bezpechna-shkola-nik-vujchich-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ef.org/ukraine/sites/unicef.org.ukraine/files/2020-07/%D0%9F%D0%BE%D1%81%D1%96%D0%B1%D0%BD%D0%B8%D0%BA_%D0%9F%D1%80%D0%BE%D1%82%D0%B8%D0%B4%D1%96%D1%8F%20%D0%BD%D0%B0%D1%81%D0%B8%D0%BB%D1%8C%D1%81%D1%82%D0%B2%D1%83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ukraine/media/2886/file/Bulling_syste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80731-10?find=1&amp;text=%D0%B1%D1%83%D0%BB%D1%96%D0%BD%D0%B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osvita/zagalna-serednya-osvita/protidiya-bulingu/korisni-posilannya-shodo-temi-antibulin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2022-12-13T14:09:00Z</dcterms:created>
  <dcterms:modified xsi:type="dcterms:W3CDTF">2022-12-13T14:09:00Z</dcterms:modified>
</cp:coreProperties>
</file>