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7E" w:rsidRDefault="007E7548"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318pt;margin-top:-25.5pt;width:166.5pt;height:9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" stroked="f">
            <v:textbox>
              <w:txbxContent>
                <w:p w:rsidR="00FA317E" w:rsidRPr="001E3117" w:rsidRDefault="00FA317E" w:rsidP="00FA317E">
                  <w:pPr>
                    <w:rPr>
                      <w:rFonts w:ascii="Times New Roman" w:hAnsi="Times New Roman" w:cs="Times New Roman"/>
                      <w:sz w:val="28"/>
                      <w:szCs w:val="28"/>
                      <w:lang w:val="uk-UA"/>
                    </w:rPr>
                  </w:pPr>
                  <w:r w:rsidRPr="001E3117">
                    <w:rPr>
                      <w:rFonts w:ascii="Times New Roman" w:hAnsi="Times New Roman" w:cs="Times New Roman"/>
                      <w:sz w:val="28"/>
                      <w:szCs w:val="28"/>
                      <w:lang w:val="uk-UA"/>
                    </w:rPr>
                    <w:t>ЗАТВЕРДЖУЮ</w:t>
                  </w:r>
                </w:p>
                <w:p w:rsidR="00FA317E" w:rsidRPr="001E3117" w:rsidRDefault="00B55F33" w:rsidP="00FA317E">
                  <w:pPr>
                    <w:rPr>
                      <w:rFonts w:ascii="Times New Roman" w:hAnsi="Times New Roman" w:cs="Times New Roman"/>
                      <w:sz w:val="28"/>
                      <w:szCs w:val="28"/>
                      <w:lang w:val="uk-UA"/>
                    </w:rPr>
                  </w:pPr>
                  <w:r>
                    <w:rPr>
                      <w:rFonts w:ascii="Times New Roman" w:hAnsi="Times New Roman" w:cs="Times New Roman"/>
                      <w:sz w:val="28"/>
                      <w:szCs w:val="28"/>
                      <w:lang w:val="uk-UA"/>
                    </w:rPr>
                    <w:t>Директор ЗОШ І-ІІІ ст. с.Ратнів</w:t>
                  </w:r>
                </w:p>
                <w:p w:rsidR="00FA317E" w:rsidRPr="001E3117" w:rsidRDefault="00B55F33" w:rsidP="00FA317E">
                  <w:pPr>
                    <w:rPr>
                      <w:rFonts w:ascii="Times New Roman" w:hAnsi="Times New Roman" w:cs="Times New Roman"/>
                      <w:sz w:val="28"/>
                      <w:szCs w:val="28"/>
                      <w:lang w:val="uk-UA"/>
                    </w:rPr>
                  </w:pPr>
                  <w:r>
                    <w:rPr>
                      <w:rFonts w:ascii="Times New Roman" w:hAnsi="Times New Roman" w:cs="Times New Roman"/>
                      <w:sz w:val="28"/>
                      <w:szCs w:val="28"/>
                      <w:lang w:val="uk-UA"/>
                    </w:rPr>
                    <w:t>________ Л.І.Котко</w:t>
                  </w:r>
                </w:p>
              </w:txbxContent>
            </v:textbox>
          </v:shape>
        </w:pict>
      </w:r>
    </w:p>
    <w:p w:rsidR="00FA317E" w:rsidRDefault="007E7548"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rPr>
        <w:pict>
          <v:shape id="_x0000_s1027" type="#_x0000_t202" style="position:absolute;left:0;text-align:left;margin-left:16.5pt;margin-top:-44pt;width:186.75pt;height:9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" stroked="f">
            <v:textbox>
              <w:txbxContent>
                <w:p w:rsidR="00FA317E" w:rsidRPr="001E3117" w:rsidRDefault="00FA317E" w:rsidP="00FA317E">
                  <w:pPr>
                    <w:rPr>
                      <w:rFonts w:ascii="Times New Roman" w:hAnsi="Times New Roman" w:cs="Times New Roman"/>
                      <w:sz w:val="28"/>
                      <w:szCs w:val="28"/>
                      <w:lang w:val="uk-UA"/>
                    </w:rPr>
                  </w:pPr>
                  <w:r w:rsidRPr="001E3117">
                    <w:rPr>
                      <w:rFonts w:ascii="Times New Roman" w:hAnsi="Times New Roman" w:cs="Times New Roman"/>
                      <w:sz w:val="28"/>
                      <w:szCs w:val="28"/>
                      <w:lang w:val="uk-UA"/>
                    </w:rPr>
                    <w:t>СХВАЛЕНО</w:t>
                  </w:r>
                </w:p>
                <w:p w:rsidR="00FA317E" w:rsidRPr="001E3117" w:rsidRDefault="00FA317E" w:rsidP="00FA317E">
                  <w:pPr>
                    <w:rPr>
                      <w:rFonts w:ascii="Times New Roman" w:hAnsi="Times New Roman" w:cs="Times New Roman"/>
                      <w:sz w:val="28"/>
                      <w:szCs w:val="28"/>
                      <w:lang w:val="uk-UA"/>
                    </w:rPr>
                  </w:pPr>
                  <w:r w:rsidRPr="001E3117">
                    <w:rPr>
                      <w:rFonts w:ascii="Times New Roman" w:hAnsi="Times New Roman" w:cs="Times New Roman"/>
                      <w:sz w:val="28"/>
                      <w:szCs w:val="28"/>
                      <w:lang w:val="uk-UA"/>
                    </w:rPr>
                    <w:t>Педагогічною радою</w:t>
                  </w:r>
                </w:p>
                <w:p w:rsidR="00FA317E" w:rsidRPr="001E3117" w:rsidRDefault="00B55F33" w:rsidP="00FA317E">
                  <w:pPr>
                    <w:rPr>
                      <w:rFonts w:ascii="Times New Roman" w:hAnsi="Times New Roman" w:cs="Times New Roman"/>
                      <w:sz w:val="28"/>
                      <w:szCs w:val="28"/>
                      <w:lang w:val="uk-UA"/>
                    </w:rPr>
                  </w:pPr>
                  <w:r>
                    <w:rPr>
                      <w:rFonts w:ascii="Times New Roman" w:hAnsi="Times New Roman" w:cs="Times New Roman"/>
                      <w:sz w:val="28"/>
                      <w:szCs w:val="28"/>
                      <w:lang w:val="uk-UA"/>
                    </w:rPr>
                    <w:t>від_________________</w:t>
                  </w:r>
                </w:p>
                <w:p w:rsidR="00FA317E" w:rsidRPr="001E3117" w:rsidRDefault="00FA317E" w:rsidP="00FA317E">
                  <w:pPr>
                    <w:rPr>
                      <w:rFonts w:ascii="Times New Roman" w:hAnsi="Times New Roman" w:cs="Times New Roman"/>
                      <w:sz w:val="28"/>
                      <w:szCs w:val="28"/>
                      <w:lang w:val="uk-UA"/>
                    </w:rPr>
                  </w:pPr>
                  <w:r w:rsidRPr="001E3117">
                    <w:rPr>
                      <w:rFonts w:ascii="Times New Roman" w:hAnsi="Times New Roman" w:cs="Times New Roman"/>
                      <w:sz w:val="28"/>
                      <w:szCs w:val="28"/>
                      <w:lang w:val="uk-UA"/>
                    </w:rPr>
                    <w:t>№ ____</w:t>
                  </w:r>
                </w:p>
              </w:txbxContent>
            </v:textbox>
          </v:shape>
        </w:pict>
      </w:r>
    </w:p>
    <w:p w:rsidR="00FA317E" w:rsidRPr="00FA317E" w:rsidRDefault="00FA317E"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p>
    <w:p w:rsidR="00FA317E" w:rsidRDefault="00FA317E"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p>
    <w:p w:rsidR="00FA317E" w:rsidRDefault="00FA317E"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p>
    <w:p w:rsidR="00FA317E" w:rsidRPr="00FA317E" w:rsidRDefault="00AF7229"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lang w:val="uk-UA"/>
        </w:rPr>
        <w:t>ПОЛОЖЕННЯ</w:t>
      </w:r>
    </w:p>
    <w:p w:rsidR="00FA317E" w:rsidRDefault="00AF7229"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lang w:val="uk-UA"/>
        </w:rPr>
        <w:t xml:space="preserve">про академічну доброчесність учасників освітнього процесу </w:t>
      </w:r>
      <w:r w:rsidR="00B55F33">
        <w:rPr>
          <w:rFonts w:ascii="Times New Roman" w:hAnsi="Times New Roman" w:cs="Times New Roman"/>
          <w:b/>
          <w:color w:val="000000"/>
          <w:sz w:val="28"/>
          <w:szCs w:val="28"/>
          <w:lang w:val="uk-UA"/>
        </w:rPr>
        <w:t>загальноосвітньої школи</w:t>
      </w:r>
      <w:r w:rsidR="00FA317E" w:rsidRPr="00FA317E">
        <w:rPr>
          <w:rFonts w:ascii="Times New Roman" w:hAnsi="Times New Roman" w:cs="Times New Roman"/>
          <w:b/>
          <w:color w:val="000000"/>
          <w:sz w:val="28"/>
          <w:szCs w:val="28"/>
          <w:lang w:val="uk-UA"/>
        </w:rPr>
        <w:t xml:space="preserve"> І – ІІІ ст. </w:t>
      </w:r>
      <w:r w:rsidR="00B55F33">
        <w:rPr>
          <w:rFonts w:ascii="Times New Roman" w:hAnsi="Times New Roman" w:cs="Times New Roman"/>
          <w:b/>
          <w:color w:val="000000"/>
          <w:sz w:val="28"/>
          <w:szCs w:val="28"/>
          <w:lang w:val="uk-UA"/>
        </w:rPr>
        <w:t>с.Ратнів</w:t>
      </w:r>
    </w:p>
    <w:p w:rsidR="00FA317E" w:rsidRPr="0079125B" w:rsidRDefault="00FA317E" w:rsidP="007165B9">
      <w:pPr>
        <w:widowControl w:val="0"/>
        <w:pBdr>
          <w:top w:val="nil"/>
          <w:left w:val="nil"/>
          <w:bottom w:val="nil"/>
          <w:right w:val="nil"/>
          <w:between w:val="nil"/>
        </w:pBdr>
        <w:ind w:firstLine="709"/>
        <w:rPr>
          <w:rFonts w:ascii="Times New Roman" w:hAnsi="Times New Roman" w:cs="Times New Roman"/>
          <w:b/>
          <w:color w:val="000000"/>
          <w:sz w:val="28"/>
          <w:szCs w:val="28"/>
          <w:lang w:val="uk-UA"/>
        </w:rPr>
      </w:pPr>
    </w:p>
    <w:p w:rsidR="006B2F2E" w:rsidRPr="00FA317E" w:rsidRDefault="006B2F2E" w:rsidP="000057F0">
      <w:pPr>
        <w:widowControl w:val="0"/>
        <w:pBdr>
          <w:top w:val="nil"/>
          <w:left w:val="nil"/>
          <w:bottom w:val="nil"/>
          <w:right w:val="nil"/>
          <w:between w:val="nil"/>
        </w:pBdr>
        <w:ind w:firstLine="709"/>
        <w:jc w:val="center"/>
        <w:rPr>
          <w:rFonts w:ascii="Times New Roman" w:hAnsi="Times New Roman" w:cs="Times New Roman"/>
          <w:b/>
          <w:color w:val="000000"/>
          <w:sz w:val="28"/>
          <w:szCs w:val="28"/>
          <w:lang w:val="uk-UA"/>
        </w:rPr>
      </w:pPr>
    </w:p>
    <w:p w:rsidR="00FA317E" w:rsidRPr="00FA317E"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t xml:space="preserve">І. Загальні положення </w:t>
      </w:r>
    </w:p>
    <w:p w:rsidR="00555601"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lang w:val="uk-UA"/>
        </w:rPr>
        <w:t xml:space="preserve">1.1. Положення про академічну доброчесність </w:t>
      </w:r>
      <w:r w:rsidR="00B55F33">
        <w:rPr>
          <w:rFonts w:ascii="Times New Roman" w:hAnsi="Times New Roman" w:cs="Times New Roman"/>
          <w:color w:val="000000"/>
          <w:sz w:val="28"/>
          <w:szCs w:val="28"/>
          <w:lang w:val="uk-UA"/>
        </w:rPr>
        <w:t>у ЗОШ І-ІІІ</w:t>
      </w:r>
      <w:r w:rsidR="007165B9">
        <w:rPr>
          <w:rFonts w:ascii="Times New Roman" w:hAnsi="Times New Roman" w:cs="Times New Roman"/>
          <w:color w:val="000000"/>
          <w:sz w:val="28"/>
          <w:szCs w:val="28"/>
          <w:lang w:val="uk-UA"/>
        </w:rPr>
        <w:t xml:space="preserve"> ст. с.Ратнів </w:t>
      </w:r>
      <w:r w:rsidRPr="00FA317E">
        <w:rPr>
          <w:rFonts w:ascii="Times New Roman" w:hAnsi="Times New Roman" w:cs="Times New Roman"/>
          <w:color w:val="000000"/>
          <w:sz w:val="28"/>
          <w:szCs w:val="28"/>
          <w:lang w:val="uk-UA"/>
        </w:rPr>
        <w:t xml:space="preserve"> (далі-Положення)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1.2. Положення розроблено на основі Конвенції ООН «Про права дитини» (1989), Конституції України, законів України «Про освіту», «Про запобігання корупції», «</w:t>
      </w:r>
      <w:r w:rsidR="00B55F33">
        <w:rPr>
          <w:rFonts w:ascii="Times New Roman" w:hAnsi="Times New Roman" w:cs="Times New Roman"/>
          <w:color w:val="000000"/>
          <w:sz w:val="28"/>
          <w:szCs w:val="28"/>
        </w:rPr>
        <w:t>Про авторські та суміжні права»</w:t>
      </w:r>
      <w:r w:rsidRPr="00FA317E">
        <w:rPr>
          <w:rFonts w:ascii="Times New Roman" w:hAnsi="Times New Roman" w:cs="Times New Roman"/>
          <w:color w:val="000000"/>
          <w:sz w:val="28"/>
          <w:szCs w:val="28"/>
        </w:rPr>
        <w:t xml:space="preserve">, статуту закладу, правил внутрішнього розпорядку.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t xml:space="preserve">ІІ. Принципи, норми етики та академічної доброчесності закладу освіти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2.1. Академічна доброчесність – це сукупність етичних принцип</w:t>
      </w:r>
      <w:r w:rsidR="00085DAC">
        <w:rPr>
          <w:rFonts w:ascii="Times New Roman" w:hAnsi="Times New Roman" w:cs="Times New Roman"/>
          <w:color w:val="000000"/>
          <w:sz w:val="28"/>
          <w:szCs w:val="28"/>
          <w:lang w:val="uk-UA"/>
        </w:rPr>
        <w:t>ів та визначених законом правил</w:t>
      </w:r>
      <w:r w:rsidRPr="00191EDC">
        <w:rPr>
          <w:rFonts w:ascii="Times New Roman" w:hAnsi="Times New Roman" w:cs="Times New Roman"/>
          <w:color w:val="000000"/>
          <w:sz w:val="28"/>
          <w:szCs w:val="28"/>
          <w:lang w:val="uk-UA"/>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 </w:t>
      </w:r>
    </w:p>
    <w:p w:rsidR="00085DA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 xml:space="preserve">2.2. Порушеннями академічної доброчесності згідно ст.42 п. 4 Закону України «Про освіту» вважається: академічний плагіат, самоплагіат, фабрикація, фальсифікація, списування, обман, хабарництво, необ’єктивне оцінювання.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191EDC">
        <w:rPr>
          <w:rFonts w:ascii="Times New Roman" w:hAnsi="Times New Roman" w:cs="Times New Roman"/>
          <w:color w:val="000000"/>
          <w:sz w:val="28"/>
          <w:szCs w:val="28"/>
          <w:lang w:val="uk-UA"/>
        </w:rPr>
        <w:t xml:space="preserve">2.3. </w:t>
      </w:r>
      <w:r w:rsidRPr="00FA317E">
        <w:rPr>
          <w:rFonts w:ascii="Times New Roman" w:hAnsi="Times New Roman" w:cs="Times New Roman"/>
          <w:color w:val="000000"/>
          <w:sz w:val="28"/>
          <w:szCs w:val="28"/>
        </w:rPr>
        <w:t xml:space="preserve">Етика та академічна доброчесність забезпечуються: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i/>
          <w:color w:val="000000"/>
          <w:sz w:val="28"/>
          <w:szCs w:val="28"/>
        </w:rPr>
      </w:pPr>
      <w:r w:rsidRPr="00FA317E">
        <w:rPr>
          <w:rFonts w:ascii="Times New Roman" w:hAnsi="Times New Roman" w:cs="Times New Roman"/>
          <w:i/>
          <w:color w:val="000000"/>
          <w:sz w:val="28"/>
          <w:szCs w:val="28"/>
        </w:rPr>
        <w:t xml:space="preserve">2.3.1. учасниками освітнього процесу </w:t>
      </w:r>
      <w:r w:rsidRPr="00FA317E">
        <w:rPr>
          <w:rFonts w:ascii="Times New Roman" w:hAnsi="Times New Roman" w:cs="Times New Roman"/>
          <w:color w:val="000000"/>
          <w:sz w:val="28"/>
          <w:szCs w:val="28"/>
        </w:rPr>
        <w:t>шляхом</w:t>
      </w:r>
      <w:r w:rsidRPr="00FA317E">
        <w:rPr>
          <w:rFonts w:ascii="Times New Roman" w:hAnsi="Times New Roman" w:cs="Times New Roman"/>
          <w:i/>
          <w:color w:val="000000"/>
          <w:sz w:val="28"/>
          <w:szCs w:val="28"/>
        </w:rPr>
        <w:t xml:space="preserve">: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дотримання Конвенції ООН «Про права дитини», Конституції, законів України;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утвердження позитивного іміджу закладу освіти, примноження його </w:t>
      </w:r>
      <w:r w:rsidRPr="00FA317E">
        <w:rPr>
          <w:rFonts w:ascii="Times New Roman" w:hAnsi="Times New Roman" w:cs="Times New Roman"/>
          <w:color w:val="000000"/>
          <w:sz w:val="28"/>
          <w:szCs w:val="28"/>
        </w:rPr>
        <w:lastRenderedPageBreak/>
        <w:t xml:space="preserve">традицій;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дотримання етичних норм спілкування на засадах партнерства, взаємоповаги, толерантності стосунків;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запобігання корупції, хабарництву;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збереження, поліпшення та раціонального використання навчально- матеріальної бази закладу;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дотримання норм про авторські права;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надання правдивої інформації про результати власної навчальної (наукової, творчої) діяльності;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 невідворотності відповідальності з підстав та в порядку, визначених відповідно Законом України «Про освіту» та іншими спеціальними законами.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i/>
          <w:color w:val="000000"/>
          <w:sz w:val="28"/>
          <w:szCs w:val="28"/>
        </w:rPr>
      </w:pPr>
      <w:r w:rsidRPr="00FA317E">
        <w:rPr>
          <w:rFonts w:ascii="Times New Roman" w:hAnsi="Times New Roman" w:cs="Times New Roman"/>
          <w:i/>
          <w:color w:val="000000"/>
          <w:sz w:val="28"/>
          <w:szCs w:val="28"/>
        </w:rPr>
        <w:t xml:space="preserve">2.3.2.здобувачами освіти шляхом: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 особистою присутністю на всіх заняттях, окрім випадків, викликаних поважними причинами.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i/>
          <w:color w:val="000000"/>
          <w:sz w:val="28"/>
          <w:szCs w:val="28"/>
        </w:rPr>
      </w:pPr>
      <w:r w:rsidRPr="00FA317E">
        <w:rPr>
          <w:rFonts w:ascii="Times New Roman" w:hAnsi="Times New Roman" w:cs="Times New Roman"/>
          <w:i/>
          <w:color w:val="000000"/>
          <w:sz w:val="28"/>
          <w:szCs w:val="28"/>
        </w:rPr>
        <w:t>2.3.3</w:t>
      </w:r>
      <w:r w:rsidRPr="00FA317E">
        <w:rPr>
          <w:rFonts w:ascii="Times New Roman" w:hAnsi="Times New Roman" w:cs="Times New Roman"/>
          <w:color w:val="000000"/>
          <w:sz w:val="28"/>
          <w:szCs w:val="28"/>
        </w:rPr>
        <w:t xml:space="preserve">. </w:t>
      </w:r>
      <w:r w:rsidRPr="00FA317E">
        <w:rPr>
          <w:rFonts w:ascii="Times New Roman" w:hAnsi="Times New Roman" w:cs="Times New Roman"/>
          <w:i/>
          <w:color w:val="000000"/>
          <w:sz w:val="28"/>
          <w:szCs w:val="28"/>
        </w:rPr>
        <w:t xml:space="preserve">педагогічними працівниками шляхом: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надання якісних освітніх послуг з використанням в практичній професійній діяльності інноваційних здобутків в галузі освіти;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обов’язкової присутності, активної участі на засіданнях педагогічної ради та колегіальної відповідальності за прийняті управлінські рішення;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незалежності професійної діяльності від політичних партій, громадських і релігійних організацій;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підвищення професійного рівня шляхом саморозвитку і самовдосконалення, проходження вчасно курсової підготовки;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дотримання правил внутрішнього розпорядку, трудової дисципліни, корпоративної етики;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об’єктивного і неупередженого оцінювання результатів навчання здобувачів освіти;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здійснення контролю за дотриманням академічної доброчесності </w:t>
      </w:r>
      <w:r w:rsidRPr="00FA317E">
        <w:rPr>
          <w:rFonts w:ascii="Times New Roman" w:hAnsi="Times New Roman" w:cs="Times New Roman"/>
          <w:color w:val="000000"/>
          <w:sz w:val="28"/>
          <w:szCs w:val="28"/>
        </w:rPr>
        <w:lastRenderedPageBreak/>
        <w:t xml:space="preserve">здобувачами освіти;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інформування здобувачів освіти про типові порушення академічної доброчесності та види відповідальності за її порушення.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t xml:space="preserve">ІІІ. Заходи з попередження, виявлення та встановлення фактів порушення етики та академічної доброчесності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3.1. При прийомі на роботу працівник знайомиться із даним Положенням під розписку після ознайомлення із правилами внутрішнього розпорядку закладу.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3.2. Положення доводиться до батьківської громади на конференції, а також оприлюднюється на сайті закладу.</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 3.3. Заступник директора закладу, який відповідає за методичну роботу: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3.3.1.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rPr>
        <w:t>3.3.2. Використовує у своїй діяльності (рецензування робіт на</w:t>
      </w:r>
      <w:r w:rsidRPr="00FA317E">
        <w:rPr>
          <w:rFonts w:ascii="Times New Roman" w:hAnsi="Times New Roman" w:cs="Times New Roman"/>
          <w:color w:val="000000"/>
          <w:sz w:val="28"/>
          <w:szCs w:val="28"/>
          <w:vertAlign w:val="subscript"/>
        </w:rPr>
        <w:t xml:space="preserve"> </w:t>
      </w:r>
      <w:r w:rsidRPr="00FA317E">
        <w:rPr>
          <w:rFonts w:ascii="Times New Roman" w:hAnsi="Times New Roman" w:cs="Times New Roman"/>
          <w:color w:val="000000"/>
          <w:sz w:val="28"/>
          <w:szCs w:val="28"/>
        </w:rPr>
        <w:t>конкурси різного рівня, на присвоєння педагогічного звання) та рекомендує вчителям сервіси безкоштовної перевірки робіт на антиплагіат.</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 xml:space="preserve"> 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w:t>
      </w:r>
      <w:r w:rsidRPr="00085DAC">
        <w:rPr>
          <w:rFonts w:ascii="Times New Roman" w:hAnsi="Times New Roman" w:cs="Times New Roman"/>
          <w:color w:val="000000"/>
          <w:sz w:val="28"/>
          <w:szCs w:val="28"/>
          <w:lang w:val="uk-UA"/>
        </w:rPr>
        <w:t>3.5. Для прийняття рішення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w:t>
      </w:r>
      <w:r w:rsidR="00085DAC">
        <w:rPr>
          <w:rFonts w:ascii="Times New Roman" w:hAnsi="Times New Roman" w:cs="Times New Roman"/>
          <w:color w:val="000000"/>
          <w:sz w:val="28"/>
          <w:szCs w:val="28"/>
          <w:lang w:val="uk-UA"/>
        </w:rPr>
        <w:t xml:space="preserve"> </w:t>
      </w:r>
      <w:r w:rsidRPr="00085DAC">
        <w:rPr>
          <w:rFonts w:ascii="Times New Roman" w:hAnsi="Times New Roman" w:cs="Times New Roman"/>
          <w:color w:val="000000"/>
          <w:sz w:val="28"/>
          <w:szCs w:val="28"/>
          <w:lang w:val="uk-UA"/>
        </w:rPr>
        <w:t xml:space="preserve">- предметника, представника учнівського самоврядування класу. </w:t>
      </w:r>
    </w:p>
    <w:p w:rsidR="006B2F2E" w:rsidRP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 xml:space="preserve">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t xml:space="preserve">IV. Види відповідальності за порушення академічної доброчесності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4.1. Види академічної відповідальності за конкретне порушення академічної доброчинності визначають спеціальні закони та внутрішнє Положення закладу освіти. </w:t>
      </w:r>
    </w:p>
    <w:tbl>
      <w:tblPr>
        <w:tblStyle w:val="a9"/>
        <w:tblW w:w="10159" w:type="dxa"/>
        <w:jc w:val="center"/>
        <w:tblInd w:w="-176" w:type="dxa"/>
        <w:tblLook w:val="04A0"/>
      </w:tblPr>
      <w:tblGrid>
        <w:gridCol w:w="1760"/>
        <w:gridCol w:w="1382"/>
        <w:gridCol w:w="2440"/>
        <w:gridCol w:w="2698"/>
        <w:gridCol w:w="1879"/>
      </w:tblGrid>
      <w:tr w:rsidR="004615DF" w:rsidRPr="000057F0" w:rsidTr="000057F0">
        <w:trPr>
          <w:trHeight w:val="126"/>
          <w:jc w:val="center"/>
        </w:trPr>
        <w:tc>
          <w:tcPr>
            <w:tcW w:w="1760" w:type="dxa"/>
          </w:tcPr>
          <w:p w:rsidR="004615DF" w:rsidRPr="000057F0" w:rsidRDefault="004615DF" w:rsidP="000057F0">
            <w:pPr>
              <w:spacing w:line="276" w:lineRule="auto"/>
              <w:rPr>
                <w:rFonts w:ascii="Times New Roman" w:hAnsi="Times New Roman"/>
                <w:b/>
                <w:i/>
                <w:sz w:val="20"/>
                <w:szCs w:val="20"/>
                <w:lang w:val="uk-UA"/>
              </w:rPr>
            </w:pPr>
            <w:r w:rsidRPr="000057F0">
              <w:rPr>
                <w:rFonts w:ascii="Times New Roman" w:hAnsi="Times New Roman"/>
                <w:b/>
                <w:i/>
                <w:sz w:val="20"/>
                <w:szCs w:val="20"/>
                <w:lang w:val="uk-UA"/>
              </w:rPr>
              <w:lastRenderedPageBreak/>
              <w:t>Порушення</w:t>
            </w:r>
          </w:p>
          <w:p w:rsidR="004615DF" w:rsidRPr="000057F0" w:rsidRDefault="004615DF" w:rsidP="000057F0">
            <w:pPr>
              <w:spacing w:line="276" w:lineRule="auto"/>
              <w:rPr>
                <w:rFonts w:ascii="Times New Roman" w:hAnsi="Times New Roman"/>
                <w:b/>
                <w:i/>
                <w:sz w:val="20"/>
                <w:szCs w:val="20"/>
                <w:lang w:val="uk-UA"/>
              </w:rPr>
            </w:pPr>
            <w:r w:rsidRPr="000057F0">
              <w:rPr>
                <w:rFonts w:ascii="Times New Roman" w:hAnsi="Times New Roman"/>
                <w:b/>
                <w:i/>
                <w:sz w:val="20"/>
                <w:szCs w:val="20"/>
                <w:lang w:val="uk-UA"/>
              </w:rPr>
              <w:t>академічної доброчесності</w:t>
            </w:r>
          </w:p>
        </w:tc>
        <w:tc>
          <w:tcPr>
            <w:tcW w:w="1382" w:type="dxa"/>
          </w:tcPr>
          <w:p w:rsidR="004615DF" w:rsidRPr="000057F0" w:rsidRDefault="004615DF" w:rsidP="000057F0">
            <w:pPr>
              <w:spacing w:line="276" w:lineRule="auto"/>
              <w:rPr>
                <w:rFonts w:ascii="Times New Roman" w:hAnsi="Times New Roman"/>
                <w:b/>
                <w:i/>
                <w:sz w:val="20"/>
                <w:szCs w:val="20"/>
                <w:lang w:val="en-US"/>
              </w:rPr>
            </w:pPr>
            <w:r w:rsidRPr="000057F0">
              <w:rPr>
                <w:rFonts w:ascii="Times New Roman" w:hAnsi="Times New Roman"/>
                <w:b/>
                <w:i/>
                <w:sz w:val="20"/>
                <w:szCs w:val="20"/>
                <w:lang w:val="uk-UA"/>
              </w:rPr>
              <w:t>Суб</w:t>
            </w:r>
            <w:r w:rsidRPr="000057F0">
              <w:rPr>
                <w:rFonts w:ascii="Times New Roman" w:hAnsi="Times New Roman"/>
                <w:b/>
                <w:i/>
                <w:sz w:val="20"/>
                <w:szCs w:val="20"/>
                <w:lang w:val="en-US"/>
              </w:rPr>
              <w:t>’</w:t>
            </w:r>
            <w:r w:rsidRPr="000057F0">
              <w:rPr>
                <w:rFonts w:ascii="Times New Roman" w:hAnsi="Times New Roman"/>
                <w:b/>
                <w:i/>
                <w:sz w:val="20"/>
                <w:szCs w:val="20"/>
                <w:lang w:val="uk-UA"/>
              </w:rPr>
              <w:t xml:space="preserve">єкти </w:t>
            </w:r>
          </w:p>
          <w:p w:rsidR="004615DF" w:rsidRPr="000057F0" w:rsidRDefault="004615DF" w:rsidP="000057F0">
            <w:pPr>
              <w:spacing w:line="276" w:lineRule="auto"/>
              <w:rPr>
                <w:rFonts w:ascii="Times New Roman" w:hAnsi="Times New Roman"/>
                <w:b/>
                <w:i/>
                <w:sz w:val="20"/>
                <w:szCs w:val="20"/>
                <w:lang w:val="uk-UA"/>
              </w:rPr>
            </w:pPr>
            <w:r w:rsidRPr="000057F0">
              <w:rPr>
                <w:rFonts w:ascii="Times New Roman" w:hAnsi="Times New Roman"/>
                <w:b/>
                <w:i/>
                <w:sz w:val="20"/>
                <w:szCs w:val="20"/>
                <w:lang w:val="uk-UA"/>
              </w:rPr>
              <w:t xml:space="preserve">порушення </w:t>
            </w:r>
          </w:p>
        </w:tc>
        <w:tc>
          <w:tcPr>
            <w:tcW w:w="2440" w:type="dxa"/>
          </w:tcPr>
          <w:p w:rsidR="004615DF" w:rsidRPr="000057F0" w:rsidRDefault="004615DF" w:rsidP="000057F0">
            <w:pPr>
              <w:spacing w:line="276" w:lineRule="auto"/>
              <w:ind w:firstLine="709"/>
              <w:rPr>
                <w:rFonts w:ascii="Times New Roman" w:hAnsi="Times New Roman"/>
                <w:b/>
                <w:i/>
                <w:sz w:val="20"/>
                <w:szCs w:val="20"/>
                <w:lang w:val="uk-UA"/>
              </w:rPr>
            </w:pPr>
            <w:r w:rsidRPr="000057F0">
              <w:rPr>
                <w:rFonts w:ascii="Times New Roman" w:hAnsi="Times New Roman"/>
                <w:b/>
                <w:i/>
                <w:sz w:val="20"/>
                <w:szCs w:val="20"/>
                <w:lang w:val="uk-UA"/>
              </w:rPr>
              <w:t>Обставини</w:t>
            </w:r>
            <w:r w:rsidRPr="000057F0">
              <w:rPr>
                <w:rFonts w:ascii="Times New Roman" w:hAnsi="Times New Roman"/>
                <w:b/>
                <w:i/>
                <w:sz w:val="20"/>
                <w:szCs w:val="20"/>
              </w:rPr>
              <w:t xml:space="preserve"> </w:t>
            </w:r>
            <w:r w:rsidRPr="000057F0">
              <w:rPr>
                <w:rFonts w:ascii="Times New Roman" w:hAnsi="Times New Roman"/>
                <w:b/>
                <w:i/>
                <w:sz w:val="20"/>
                <w:szCs w:val="20"/>
                <w:lang w:val="uk-UA"/>
              </w:rPr>
              <w:t xml:space="preserve">та умови  порушення </w:t>
            </w:r>
          </w:p>
          <w:p w:rsidR="004615DF" w:rsidRPr="000057F0" w:rsidRDefault="004615DF" w:rsidP="000057F0">
            <w:pPr>
              <w:spacing w:line="276" w:lineRule="auto"/>
              <w:ind w:firstLine="709"/>
              <w:rPr>
                <w:rFonts w:ascii="Times New Roman" w:hAnsi="Times New Roman"/>
                <w:b/>
                <w:i/>
                <w:sz w:val="20"/>
                <w:szCs w:val="20"/>
                <w:lang w:val="uk-UA"/>
              </w:rPr>
            </w:pPr>
            <w:r w:rsidRPr="000057F0">
              <w:rPr>
                <w:rFonts w:ascii="Times New Roman" w:hAnsi="Times New Roman"/>
                <w:b/>
                <w:i/>
                <w:sz w:val="20"/>
                <w:szCs w:val="20"/>
                <w:lang w:val="uk-UA"/>
              </w:rPr>
              <w:t>академічної доброчесності</w:t>
            </w:r>
          </w:p>
        </w:tc>
        <w:tc>
          <w:tcPr>
            <w:tcW w:w="2698" w:type="dxa"/>
          </w:tcPr>
          <w:p w:rsidR="004615DF" w:rsidRPr="000057F0" w:rsidRDefault="004615DF" w:rsidP="000057F0">
            <w:pPr>
              <w:spacing w:line="276" w:lineRule="auto"/>
              <w:ind w:firstLine="709"/>
              <w:rPr>
                <w:rFonts w:ascii="Times New Roman" w:hAnsi="Times New Roman"/>
                <w:b/>
                <w:i/>
                <w:sz w:val="20"/>
                <w:szCs w:val="20"/>
                <w:lang w:val="uk-UA"/>
              </w:rPr>
            </w:pPr>
            <w:r w:rsidRPr="000057F0">
              <w:rPr>
                <w:rFonts w:ascii="Times New Roman" w:hAnsi="Times New Roman"/>
                <w:b/>
                <w:i/>
                <w:sz w:val="20"/>
                <w:szCs w:val="20"/>
                <w:lang w:val="uk-UA"/>
              </w:rPr>
              <w:t>Наслідки  і форма відповідальності</w:t>
            </w:r>
          </w:p>
        </w:tc>
        <w:tc>
          <w:tcPr>
            <w:tcW w:w="1879" w:type="dxa"/>
          </w:tcPr>
          <w:p w:rsidR="004615DF" w:rsidRPr="000057F0" w:rsidRDefault="004615DF" w:rsidP="000057F0">
            <w:pPr>
              <w:spacing w:line="276" w:lineRule="auto"/>
              <w:ind w:firstLine="709"/>
              <w:rPr>
                <w:rFonts w:ascii="Times New Roman" w:hAnsi="Times New Roman"/>
                <w:b/>
                <w:i/>
                <w:sz w:val="20"/>
                <w:szCs w:val="20"/>
                <w:lang w:val="uk-UA"/>
              </w:rPr>
            </w:pPr>
            <w:r w:rsidRPr="000057F0">
              <w:rPr>
                <w:rFonts w:ascii="Times New Roman" w:hAnsi="Times New Roman"/>
                <w:b/>
                <w:i/>
                <w:sz w:val="20"/>
                <w:szCs w:val="20"/>
                <w:lang w:val="uk-UA"/>
              </w:rPr>
              <w:t xml:space="preserve">Орган / посадова особа, який приймає рішення про призначення </w:t>
            </w:r>
          </w:p>
          <w:p w:rsidR="004615DF" w:rsidRPr="000057F0" w:rsidRDefault="004615DF" w:rsidP="000057F0">
            <w:pPr>
              <w:spacing w:line="276" w:lineRule="auto"/>
              <w:ind w:firstLine="709"/>
              <w:rPr>
                <w:rFonts w:ascii="Times New Roman" w:hAnsi="Times New Roman"/>
                <w:b/>
                <w:i/>
                <w:sz w:val="20"/>
                <w:szCs w:val="20"/>
                <w:lang w:val="uk-UA"/>
              </w:rPr>
            </w:pPr>
            <w:r w:rsidRPr="000057F0">
              <w:rPr>
                <w:rFonts w:ascii="Times New Roman" w:hAnsi="Times New Roman"/>
                <w:b/>
                <w:i/>
                <w:sz w:val="20"/>
                <w:szCs w:val="20"/>
                <w:lang w:val="uk-UA"/>
              </w:rPr>
              <w:t xml:space="preserve">виду відповідальності </w:t>
            </w:r>
          </w:p>
        </w:tc>
      </w:tr>
      <w:tr w:rsidR="004615DF" w:rsidRPr="000057F0" w:rsidTr="000057F0">
        <w:trPr>
          <w:trHeight w:val="553"/>
          <w:jc w:val="center"/>
        </w:trPr>
        <w:tc>
          <w:tcPr>
            <w:tcW w:w="1760" w:type="dxa"/>
            <w:vMerge w:val="restart"/>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Списування</w:t>
            </w:r>
          </w:p>
        </w:tc>
        <w:tc>
          <w:tcPr>
            <w:tcW w:w="1382" w:type="dxa"/>
            <w:vMerge w:val="restart"/>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 xml:space="preserve">Здобувачі освіти </w:t>
            </w:r>
          </w:p>
        </w:tc>
        <w:tc>
          <w:tcPr>
            <w:tcW w:w="2440"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самостійні роботи;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контрольні роботи;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контрольні зрізи знань;</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річне оцінювання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(для  екстернів)</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моніторинги якості знань </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tc>
        <w:tc>
          <w:tcPr>
            <w:tcW w:w="2698"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Повторне письмове проходження оцінювання </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Термін-1 тиждень </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або</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повторне проходження відповідного освітнього компонента освітньої програми</w:t>
            </w:r>
          </w:p>
        </w:tc>
        <w:tc>
          <w:tcPr>
            <w:tcW w:w="1879"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Учителі-предметники</w:t>
            </w:r>
          </w:p>
        </w:tc>
      </w:tr>
      <w:tr w:rsidR="004615DF" w:rsidRPr="000057F0" w:rsidTr="000057F0">
        <w:trPr>
          <w:trHeight w:val="1330"/>
          <w:jc w:val="center"/>
        </w:trPr>
        <w:tc>
          <w:tcPr>
            <w:tcW w:w="1760"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1382"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440"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-екзамен (ДПА); </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річне оцінювання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 для  екстернів)</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tc>
        <w:tc>
          <w:tcPr>
            <w:tcW w:w="2698"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Повторне проходження оцінювання  за графіком проведення  ДПА у закладі</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Не зарахування  результатів </w:t>
            </w:r>
          </w:p>
          <w:p w:rsidR="004615DF" w:rsidRPr="000057F0" w:rsidRDefault="004615DF" w:rsidP="000057F0">
            <w:pPr>
              <w:spacing w:line="276" w:lineRule="auto"/>
              <w:ind w:firstLine="709"/>
              <w:rPr>
                <w:rFonts w:ascii="Times New Roman" w:hAnsi="Times New Roman"/>
                <w:sz w:val="20"/>
                <w:szCs w:val="20"/>
                <w:lang w:val="uk-UA"/>
              </w:rPr>
            </w:pPr>
          </w:p>
        </w:tc>
        <w:tc>
          <w:tcPr>
            <w:tcW w:w="1879"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Атестаційна комісія</w:t>
            </w:r>
          </w:p>
        </w:tc>
      </w:tr>
      <w:tr w:rsidR="004615DF" w:rsidRPr="000057F0" w:rsidTr="000057F0">
        <w:trPr>
          <w:trHeight w:val="1322"/>
          <w:jc w:val="center"/>
        </w:trPr>
        <w:tc>
          <w:tcPr>
            <w:tcW w:w="1760"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1382"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440"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-І етап( шкільний) Всеукраїнських  учнівських олімпіад, конкурсів;</w:t>
            </w:r>
          </w:p>
          <w:p w:rsidR="004615DF" w:rsidRPr="000057F0" w:rsidRDefault="004615DF" w:rsidP="000057F0">
            <w:pPr>
              <w:spacing w:line="276" w:lineRule="auto"/>
              <w:ind w:firstLine="709"/>
              <w:rPr>
                <w:rFonts w:ascii="Times New Roman" w:hAnsi="Times New Roman"/>
                <w:sz w:val="20"/>
                <w:szCs w:val="20"/>
                <w:lang w:val="uk-UA"/>
              </w:rPr>
            </w:pPr>
          </w:p>
        </w:tc>
        <w:tc>
          <w:tcPr>
            <w:tcW w:w="2698"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Робота учасника анулюється, не оцінюється.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У разі повторних випадків списування учасник не допускається до участі в інших  олімпіадах, конкурсах </w:t>
            </w:r>
          </w:p>
        </w:tc>
        <w:tc>
          <w:tcPr>
            <w:tcW w:w="1879" w:type="dxa"/>
          </w:tcPr>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Оргкомітет, журі</w:t>
            </w:r>
          </w:p>
        </w:tc>
      </w:tr>
      <w:tr w:rsidR="004615DF" w:rsidRPr="000057F0" w:rsidTr="000057F0">
        <w:trPr>
          <w:trHeight w:val="126"/>
          <w:jc w:val="center"/>
        </w:trPr>
        <w:tc>
          <w:tcPr>
            <w:tcW w:w="1760" w:type="dxa"/>
          </w:tcPr>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Необ</w:t>
            </w:r>
            <w:r w:rsidRPr="000057F0">
              <w:rPr>
                <w:rFonts w:ascii="Times New Roman" w:hAnsi="Times New Roman"/>
                <w:b/>
                <w:sz w:val="20"/>
                <w:szCs w:val="20"/>
              </w:rPr>
              <w:t>’</w:t>
            </w:r>
            <w:r w:rsidRPr="000057F0">
              <w:rPr>
                <w:rFonts w:ascii="Times New Roman" w:hAnsi="Times New Roman"/>
                <w:b/>
                <w:sz w:val="20"/>
                <w:szCs w:val="20"/>
                <w:lang w:val="uk-UA"/>
              </w:rPr>
              <w:t>єктивне</w:t>
            </w:r>
          </w:p>
          <w:p w:rsidR="004615DF" w:rsidRPr="000057F0" w:rsidRDefault="004615DF" w:rsidP="000057F0">
            <w:pPr>
              <w:spacing w:line="276" w:lineRule="auto"/>
              <w:rPr>
                <w:rFonts w:ascii="Times New Roman" w:hAnsi="Times New Roman"/>
                <w:sz w:val="20"/>
                <w:szCs w:val="20"/>
              </w:rPr>
            </w:pPr>
            <w:r w:rsidRPr="000057F0">
              <w:rPr>
                <w:rFonts w:ascii="Times New Roman" w:hAnsi="Times New Roman"/>
                <w:b/>
                <w:sz w:val="20"/>
                <w:szCs w:val="20"/>
                <w:lang w:val="uk-UA"/>
              </w:rPr>
              <w:t>оцінювання результатів навчання здобувачів</w:t>
            </w:r>
          </w:p>
        </w:tc>
        <w:tc>
          <w:tcPr>
            <w:tcW w:w="1382" w:type="dxa"/>
          </w:tcPr>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Педагогічні працівники</w:t>
            </w:r>
          </w:p>
        </w:tc>
        <w:tc>
          <w:tcPr>
            <w:tcW w:w="2440"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Свідоме завищення або заниження оцінки результатів навчання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-усні відповіді;</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-домашні роботи;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-контрольні роботи;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-лабораторні та </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практичні роботи;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-ДПА;</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lastRenderedPageBreak/>
              <w:t>-тематичне оцінювання;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моніторинги;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-олімпіадні та конкурсні роботи</w:t>
            </w:r>
          </w:p>
          <w:p w:rsidR="004615DF" w:rsidRPr="000057F0" w:rsidRDefault="004615DF" w:rsidP="000057F0">
            <w:pPr>
              <w:spacing w:line="276" w:lineRule="auto"/>
              <w:ind w:firstLine="709"/>
              <w:rPr>
                <w:rFonts w:ascii="Times New Roman" w:hAnsi="Times New Roman"/>
                <w:sz w:val="20"/>
                <w:szCs w:val="20"/>
                <w:lang w:val="uk-UA"/>
              </w:rPr>
            </w:pPr>
          </w:p>
        </w:tc>
        <w:tc>
          <w:tcPr>
            <w:tcW w:w="2698" w:type="dxa"/>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lastRenderedPageBreak/>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 присвоєнні педагогічних  звань</w:t>
            </w:r>
          </w:p>
        </w:tc>
        <w:tc>
          <w:tcPr>
            <w:tcW w:w="1879" w:type="dxa"/>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Адміністрація закладу, атестаційні  комісії усіх рівнів</w:t>
            </w:r>
          </w:p>
        </w:tc>
      </w:tr>
      <w:tr w:rsidR="004615DF" w:rsidRPr="000057F0" w:rsidTr="000057F0">
        <w:trPr>
          <w:trHeight w:val="886"/>
          <w:jc w:val="center"/>
        </w:trPr>
        <w:tc>
          <w:tcPr>
            <w:tcW w:w="1760" w:type="dxa"/>
          </w:tcPr>
          <w:p w:rsidR="004615DF" w:rsidRPr="000057F0" w:rsidRDefault="004615DF" w:rsidP="000057F0">
            <w:pPr>
              <w:spacing w:line="276" w:lineRule="auto"/>
              <w:ind w:firstLine="709"/>
              <w:rPr>
                <w:rFonts w:ascii="Times New Roman" w:hAnsi="Times New Roman"/>
                <w:b/>
                <w:sz w:val="20"/>
                <w:szCs w:val="20"/>
                <w:lang w:val="uk-UA"/>
              </w:rPr>
            </w:pPr>
            <w:r w:rsidRPr="000057F0">
              <w:rPr>
                <w:rFonts w:ascii="Times New Roman" w:hAnsi="Times New Roman"/>
                <w:b/>
                <w:sz w:val="20"/>
                <w:szCs w:val="20"/>
                <w:lang w:val="uk-UA"/>
              </w:rPr>
              <w:lastRenderedPageBreak/>
              <w:t>Обман:</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Фальсифікація</w:t>
            </w:r>
          </w:p>
        </w:tc>
        <w:tc>
          <w:tcPr>
            <w:tcW w:w="1382" w:type="dxa"/>
            <w:vMerge w:val="restart"/>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Педагогічні працівники</w:t>
            </w:r>
          </w:p>
          <w:p w:rsidR="004615DF" w:rsidRPr="000057F0" w:rsidRDefault="004615DF" w:rsidP="000057F0">
            <w:pPr>
              <w:spacing w:line="276" w:lineRule="auto"/>
              <w:rPr>
                <w:rFonts w:ascii="Times New Roman" w:hAnsi="Times New Roman"/>
                <w:b/>
                <w:sz w:val="20"/>
                <w:szCs w:val="20"/>
                <w:lang w:val="uk-UA"/>
              </w:rPr>
            </w:pPr>
            <w:r w:rsidRPr="000057F0">
              <w:rPr>
                <w:rFonts w:ascii="Times New Roman" w:hAnsi="Times New Roman"/>
                <w:b/>
                <w:sz w:val="20"/>
                <w:szCs w:val="20"/>
                <w:lang w:val="uk-UA"/>
              </w:rPr>
              <w:t xml:space="preserve">як автори </w:t>
            </w:r>
          </w:p>
        </w:tc>
        <w:tc>
          <w:tcPr>
            <w:tcW w:w="2440" w:type="dxa"/>
            <w:vMerge w:val="restart"/>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Навчально-методичні освітні продукти, створені педагогічними працівниками: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-методичні рекомендації;</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-навчальний посібник;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-навчально-методичний посібник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-наочний посібник;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-практичний посібник;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-навчальний наочний посібник;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-збірка;</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-методична збірка</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-методичний вісник;</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-стаття;</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-методична розробка</w:t>
            </w:r>
          </w:p>
        </w:tc>
        <w:tc>
          <w:tcPr>
            <w:tcW w:w="2698" w:type="dxa"/>
            <w:vMerge w:val="restart"/>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У випадку встановлення порушень такого порядку:</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є підставою для відмови в присвоєнні або позбавлені раніше присвоєного педагогічного звання, кваліфікаційної категорії</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позбавлення педагогічного працівника І,ІІ кваліфікаційної категорії </w:t>
            </w:r>
          </w:p>
          <w:p w:rsidR="004615DF" w:rsidRPr="000057F0" w:rsidRDefault="004615DF" w:rsidP="000057F0">
            <w:pPr>
              <w:spacing w:line="276" w:lineRule="auto"/>
              <w:ind w:firstLine="709"/>
              <w:rPr>
                <w:rFonts w:ascii="Times New Roman" w:hAnsi="Times New Roman"/>
                <w:sz w:val="20"/>
                <w:szCs w:val="20"/>
                <w:lang w:val="uk-UA"/>
              </w:rPr>
            </w:pPr>
          </w:p>
        </w:tc>
        <w:tc>
          <w:tcPr>
            <w:tcW w:w="1879" w:type="dxa"/>
            <w:vMerge w:val="restart"/>
          </w:tcPr>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 xml:space="preserve"> </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Педагогічна та методичні  ради</w:t>
            </w:r>
          </w:p>
          <w:p w:rsidR="004615DF" w:rsidRPr="000057F0" w:rsidRDefault="004615DF" w:rsidP="000057F0">
            <w:pPr>
              <w:spacing w:line="276" w:lineRule="auto"/>
              <w:ind w:firstLine="709"/>
              <w:rPr>
                <w:rFonts w:ascii="Times New Roman" w:hAnsi="Times New Roman"/>
                <w:sz w:val="20"/>
                <w:szCs w:val="20"/>
                <w:lang w:val="uk-UA"/>
              </w:rPr>
            </w:pPr>
            <w:r w:rsidRPr="000057F0">
              <w:rPr>
                <w:rFonts w:ascii="Times New Roman" w:hAnsi="Times New Roman"/>
                <w:sz w:val="20"/>
                <w:szCs w:val="20"/>
                <w:lang w:val="uk-UA"/>
              </w:rPr>
              <w:t>закладу, науково-методична рада методичного кабінету,  атестаційні</w:t>
            </w:r>
            <w:r w:rsidR="000057F0" w:rsidRPr="000057F0">
              <w:rPr>
                <w:rFonts w:ascii="Times New Roman" w:hAnsi="Times New Roman"/>
                <w:sz w:val="20"/>
                <w:szCs w:val="20"/>
                <w:lang w:val="uk-UA"/>
              </w:rPr>
              <w:t xml:space="preserve"> комісії (закладу освіти, ІІ рівня</w:t>
            </w:r>
            <w:r w:rsidRPr="000057F0">
              <w:rPr>
                <w:rFonts w:ascii="Times New Roman" w:hAnsi="Times New Roman"/>
                <w:sz w:val="20"/>
                <w:szCs w:val="20"/>
                <w:lang w:val="uk-UA"/>
              </w:rPr>
              <w:t xml:space="preserve">) </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tc>
      </w:tr>
      <w:tr w:rsidR="004615DF" w:rsidRPr="000057F0" w:rsidTr="000057F0">
        <w:trPr>
          <w:trHeight w:val="198"/>
          <w:jc w:val="center"/>
        </w:trPr>
        <w:tc>
          <w:tcPr>
            <w:tcW w:w="1760" w:type="dxa"/>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Фабрикація</w:t>
            </w: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tc>
        <w:tc>
          <w:tcPr>
            <w:tcW w:w="1382"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440"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698"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1879" w:type="dxa"/>
            <w:vMerge/>
          </w:tcPr>
          <w:p w:rsidR="004615DF" w:rsidRPr="000057F0" w:rsidRDefault="004615DF" w:rsidP="000057F0">
            <w:pPr>
              <w:spacing w:line="276" w:lineRule="auto"/>
              <w:ind w:firstLine="709"/>
              <w:rPr>
                <w:rFonts w:ascii="Times New Roman" w:hAnsi="Times New Roman"/>
                <w:sz w:val="20"/>
                <w:szCs w:val="20"/>
                <w:lang w:val="uk-UA"/>
              </w:rPr>
            </w:pPr>
          </w:p>
        </w:tc>
      </w:tr>
      <w:tr w:rsidR="004615DF" w:rsidRPr="000057F0" w:rsidTr="000057F0">
        <w:trPr>
          <w:trHeight w:val="2181"/>
          <w:jc w:val="center"/>
        </w:trPr>
        <w:tc>
          <w:tcPr>
            <w:tcW w:w="1760" w:type="dxa"/>
          </w:tcPr>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ind w:firstLine="709"/>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p>
          <w:p w:rsidR="004615DF" w:rsidRPr="000057F0" w:rsidRDefault="004615DF" w:rsidP="000057F0">
            <w:pPr>
              <w:spacing w:line="276" w:lineRule="auto"/>
              <w:rPr>
                <w:rFonts w:ascii="Times New Roman" w:hAnsi="Times New Roman"/>
                <w:sz w:val="20"/>
                <w:szCs w:val="20"/>
                <w:lang w:val="uk-UA"/>
              </w:rPr>
            </w:pPr>
            <w:r w:rsidRPr="000057F0">
              <w:rPr>
                <w:rFonts w:ascii="Times New Roman" w:hAnsi="Times New Roman"/>
                <w:sz w:val="20"/>
                <w:szCs w:val="20"/>
                <w:lang w:val="uk-UA"/>
              </w:rPr>
              <w:t>Плагіат</w:t>
            </w:r>
          </w:p>
        </w:tc>
        <w:tc>
          <w:tcPr>
            <w:tcW w:w="1382"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440"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2698" w:type="dxa"/>
            <w:vMerge/>
          </w:tcPr>
          <w:p w:rsidR="004615DF" w:rsidRPr="000057F0" w:rsidRDefault="004615DF" w:rsidP="000057F0">
            <w:pPr>
              <w:spacing w:line="276" w:lineRule="auto"/>
              <w:ind w:firstLine="709"/>
              <w:rPr>
                <w:rFonts w:ascii="Times New Roman" w:hAnsi="Times New Roman"/>
                <w:sz w:val="20"/>
                <w:szCs w:val="20"/>
                <w:lang w:val="uk-UA"/>
              </w:rPr>
            </w:pPr>
          </w:p>
        </w:tc>
        <w:tc>
          <w:tcPr>
            <w:tcW w:w="1879" w:type="dxa"/>
            <w:vMerge/>
          </w:tcPr>
          <w:p w:rsidR="004615DF" w:rsidRPr="000057F0" w:rsidRDefault="004615DF" w:rsidP="000057F0">
            <w:pPr>
              <w:spacing w:line="276" w:lineRule="auto"/>
              <w:ind w:firstLine="709"/>
              <w:rPr>
                <w:rFonts w:ascii="Times New Roman" w:hAnsi="Times New Roman"/>
                <w:sz w:val="20"/>
                <w:szCs w:val="20"/>
                <w:lang w:val="uk-UA"/>
              </w:rPr>
            </w:pPr>
          </w:p>
        </w:tc>
      </w:tr>
    </w:tbl>
    <w:p w:rsidR="00191EDC"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lastRenderedPageBreak/>
        <w:t xml:space="preserve">V. Комісія з питань академічної доброчесності та етики педагогічних працівників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5.</w:t>
      </w:r>
      <w:bookmarkStart w:id="0" w:name="_GoBack"/>
      <w:bookmarkEnd w:id="0"/>
      <w:r w:rsidRPr="00191EDC">
        <w:rPr>
          <w:rFonts w:ascii="Times New Roman" w:hAnsi="Times New Roman" w:cs="Times New Roman"/>
          <w:color w:val="000000"/>
          <w:sz w:val="28"/>
          <w:szCs w:val="28"/>
          <w:lang w:val="uk-UA"/>
        </w:rPr>
        <w:t xml:space="preserve">1. Комісія 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5.2. До складу Комісії входять представники педагогічного колективу та батьківської громади.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Персональний склад Комісії затверджується рішенням педагогічної ради.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Термін повноважень Комісії - 1 рік.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FA317E">
        <w:rPr>
          <w:rFonts w:ascii="Times New Roman" w:hAnsi="Times New Roman" w:cs="Times New Roman"/>
          <w:color w:val="000000"/>
          <w:sz w:val="28"/>
          <w:szCs w:val="28"/>
        </w:rPr>
        <w:t xml:space="preserve">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 </w:t>
      </w:r>
    </w:p>
    <w:p w:rsidR="006B2F2E" w:rsidRPr="00FA317E"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rPr>
      </w:pPr>
      <w:r w:rsidRPr="00FA317E">
        <w:rPr>
          <w:rFonts w:ascii="Times New Roman" w:hAnsi="Times New Roman" w:cs="Times New Roman"/>
          <w:color w:val="000000"/>
          <w:sz w:val="28"/>
          <w:szCs w:val="28"/>
        </w:rPr>
        <w:t xml:space="preserve">5.4. Комісія звітує про свою роботу двічі на рік. </w:t>
      </w:r>
    </w:p>
    <w:p w:rsidR="00191EDC" w:rsidRDefault="00AF7229" w:rsidP="000057F0">
      <w:pPr>
        <w:widowControl w:val="0"/>
        <w:pBdr>
          <w:top w:val="nil"/>
          <w:left w:val="nil"/>
          <w:bottom w:val="nil"/>
          <w:right w:val="nil"/>
          <w:between w:val="nil"/>
        </w:pBdr>
        <w:ind w:firstLine="709"/>
        <w:jc w:val="both"/>
        <w:rPr>
          <w:rFonts w:ascii="Times New Roman" w:hAnsi="Times New Roman" w:cs="Times New Roman"/>
          <w:b/>
          <w:color w:val="000000"/>
          <w:sz w:val="28"/>
          <w:szCs w:val="28"/>
          <w:lang w:val="uk-UA"/>
        </w:rPr>
      </w:pPr>
      <w:r w:rsidRPr="00FA317E">
        <w:rPr>
          <w:rFonts w:ascii="Times New Roman" w:hAnsi="Times New Roman" w:cs="Times New Roman"/>
          <w:b/>
          <w:color w:val="000000"/>
          <w:sz w:val="28"/>
          <w:szCs w:val="28"/>
        </w:rPr>
        <w:t xml:space="preserve">VI. Прикінцеві положення </w:t>
      </w:r>
    </w:p>
    <w:p w:rsidR="006B2F2E" w:rsidRPr="00191EDC" w:rsidRDefault="00AF7229" w:rsidP="000057F0">
      <w:pPr>
        <w:widowControl w:val="0"/>
        <w:pBdr>
          <w:top w:val="nil"/>
          <w:left w:val="nil"/>
          <w:bottom w:val="nil"/>
          <w:right w:val="nil"/>
          <w:between w:val="nil"/>
        </w:pBdr>
        <w:ind w:firstLine="709"/>
        <w:jc w:val="both"/>
        <w:rPr>
          <w:rFonts w:ascii="Times New Roman" w:hAnsi="Times New Roman" w:cs="Times New Roman"/>
          <w:color w:val="000000"/>
          <w:sz w:val="28"/>
          <w:szCs w:val="28"/>
          <w:lang w:val="uk-UA"/>
        </w:rPr>
      </w:pPr>
      <w:r w:rsidRPr="00191EDC">
        <w:rPr>
          <w:rFonts w:ascii="Times New Roman" w:hAnsi="Times New Roman" w:cs="Times New Roman"/>
          <w:color w:val="000000"/>
          <w:sz w:val="28"/>
          <w:szCs w:val="28"/>
          <w:lang w:val="uk-UA"/>
        </w:rPr>
        <w:t xml:space="preserve">6.1.Положення ухвалюється педагогічною радою закладу більшістю голосів і набирає чинності з моменту схвалення. </w:t>
      </w:r>
    </w:p>
    <w:sectPr w:rsidR="006B2F2E" w:rsidRPr="00191EDC" w:rsidSect="00FA317E">
      <w:pgSz w:w="12240" w:h="15840"/>
      <w:pgMar w:top="1440" w:right="1041" w:bottom="1440" w:left="144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DA" w:rsidRDefault="00CC30DA" w:rsidP="00FA317E">
      <w:pPr>
        <w:spacing w:line="240" w:lineRule="auto"/>
      </w:pPr>
      <w:r>
        <w:separator/>
      </w:r>
    </w:p>
  </w:endnote>
  <w:endnote w:type="continuationSeparator" w:id="0">
    <w:p w:rsidR="00CC30DA" w:rsidRDefault="00CC30DA" w:rsidP="00FA31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DA" w:rsidRDefault="00CC30DA" w:rsidP="00FA317E">
      <w:pPr>
        <w:spacing w:line="240" w:lineRule="auto"/>
      </w:pPr>
      <w:r>
        <w:separator/>
      </w:r>
    </w:p>
  </w:footnote>
  <w:footnote w:type="continuationSeparator" w:id="0">
    <w:p w:rsidR="00CC30DA" w:rsidRDefault="00CC30DA" w:rsidP="00FA31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B2F2E"/>
    <w:rsid w:val="000057F0"/>
    <w:rsid w:val="00085DAC"/>
    <w:rsid w:val="00191EDC"/>
    <w:rsid w:val="004615DF"/>
    <w:rsid w:val="004A2D64"/>
    <w:rsid w:val="00555601"/>
    <w:rsid w:val="005F4FA8"/>
    <w:rsid w:val="006A3AF0"/>
    <w:rsid w:val="006B2F2E"/>
    <w:rsid w:val="007165B9"/>
    <w:rsid w:val="007E7548"/>
    <w:rsid w:val="008D2EEF"/>
    <w:rsid w:val="00A46A0E"/>
    <w:rsid w:val="00AF7229"/>
    <w:rsid w:val="00B55F33"/>
    <w:rsid w:val="00CC30DA"/>
    <w:rsid w:val="00DD09F6"/>
    <w:rsid w:val="00E6587B"/>
    <w:rsid w:val="00F10CBF"/>
    <w:rsid w:val="00FA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09F6"/>
  </w:style>
  <w:style w:type="paragraph" w:styleId="1">
    <w:name w:val="heading 1"/>
    <w:basedOn w:val="a"/>
    <w:next w:val="a"/>
    <w:rsid w:val="00DD09F6"/>
    <w:pPr>
      <w:keepNext/>
      <w:keepLines/>
      <w:spacing w:before="480" w:after="120"/>
      <w:outlineLvl w:val="0"/>
    </w:pPr>
    <w:rPr>
      <w:b/>
      <w:sz w:val="48"/>
      <w:szCs w:val="48"/>
    </w:rPr>
  </w:style>
  <w:style w:type="paragraph" w:styleId="2">
    <w:name w:val="heading 2"/>
    <w:basedOn w:val="a"/>
    <w:next w:val="a"/>
    <w:rsid w:val="00DD09F6"/>
    <w:pPr>
      <w:keepNext/>
      <w:keepLines/>
      <w:spacing w:before="360" w:after="80"/>
      <w:outlineLvl w:val="1"/>
    </w:pPr>
    <w:rPr>
      <w:b/>
      <w:sz w:val="36"/>
      <w:szCs w:val="36"/>
    </w:rPr>
  </w:style>
  <w:style w:type="paragraph" w:styleId="3">
    <w:name w:val="heading 3"/>
    <w:basedOn w:val="a"/>
    <w:next w:val="a"/>
    <w:rsid w:val="00DD09F6"/>
    <w:pPr>
      <w:keepNext/>
      <w:keepLines/>
      <w:spacing w:before="280" w:after="80"/>
      <w:outlineLvl w:val="2"/>
    </w:pPr>
    <w:rPr>
      <w:b/>
      <w:sz w:val="28"/>
      <w:szCs w:val="28"/>
    </w:rPr>
  </w:style>
  <w:style w:type="paragraph" w:styleId="4">
    <w:name w:val="heading 4"/>
    <w:basedOn w:val="a"/>
    <w:next w:val="a"/>
    <w:rsid w:val="00DD09F6"/>
    <w:pPr>
      <w:keepNext/>
      <w:keepLines/>
      <w:spacing w:before="240" w:after="40"/>
      <w:outlineLvl w:val="3"/>
    </w:pPr>
    <w:rPr>
      <w:b/>
      <w:sz w:val="24"/>
      <w:szCs w:val="24"/>
    </w:rPr>
  </w:style>
  <w:style w:type="paragraph" w:styleId="5">
    <w:name w:val="heading 5"/>
    <w:basedOn w:val="a"/>
    <w:next w:val="a"/>
    <w:rsid w:val="00DD09F6"/>
    <w:pPr>
      <w:keepNext/>
      <w:keepLines/>
      <w:spacing w:before="220" w:after="40"/>
      <w:outlineLvl w:val="4"/>
    </w:pPr>
    <w:rPr>
      <w:b/>
    </w:rPr>
  </w:style>
  <w:style w:type="paragraph" w:styleId="6">
    <w:name w:val="heading 6"/>
    <w:basedOn w:val="a"/>
    <w:next w:val="a"/>
    <w:rsid w:val="00DD09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09F6"/>
    <w:tblPr>
      <w:tblCellMar>
        <w:top w:w="0" w:type="dxa"/>
        <w:left w:w="0" w:type="dxa"/>
        <w:bottom w:w="0" w:type="dxa"/>
        <w:right w:w="0" w:type="dxa"/>
      </w:tblCellMar>
    </w:tblPr>
  </w:style>
  <w:style w:type="paragraph" w:styleId="a3">
    <w:name w:val="Title"/>
    <w:basedOn w:val="a"/>
    <w:next w:val="a"/>
    <w:rsid w:val="00DD09F6"/>
    <w:pPr>
      <w:keepNext/>
      <w:keepLines/>
      <w:spacing w:before="480" w:after="120"/>
    </w:pPr>
    <w:rPr>
      <w:b/>
      <w:sz w:val="72"/>
      <w:szCs w:val="72"/>
    </w:rPr>
  </w:style>
  <w:style w:type="paragraph" w:styleId="a4">
    <w:name w:val="Subtitle"/>
    <w:basedOn w:val="a"/>
    <w:next w:val="a"/>
    <w:rsid w:val="00DD09F6"/>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FA317E"/>
    <w:pPr>
      <w:tabs>
        <w:tab w:val="center" w:pos="4677"/>
        <w:tab w:val="right" w:pos="9355"/>
      </w:tabs>
      <w:spacing w:line="240" w:lineRule="auto"/>
    </w:pPr>
  </w:style>
  <w:style w:type="character" w:customStyle="1" w:styleId="a6">
    <w:name w:val="Верхний колонтитул Знак"/>
    <w:basedOn w:val="a0"/>
    <w:link w:val="a5"/>
    <w:uiPriority w:val="99"/>
    <w:rsid w:val="00FA317E"/>
  </w:style>
  <w:style w:type="paragraph" w:styleId="a7">
    <w:name w:val="footer"/>
    <w:basedOn w:val="a"/>
    <w:link w:val="a8"/>
    <w:uiPriority w:val="99"/>
    <w:unhideWhenUsed/>
    <w:rsid w:val="00FA317E"/>
    <w:pPr>
      <w:tabs>
        <w:tab w:val="center" w:pos="4677"/>
        <w:tab w:val="right" w:pos="9355"/>
      </w:tabs>
      <w:spacing w:line="240" w:lineRule="auto"/>
    </w:pPr>
  </w:style>
  <w:style w:type="character" w:customStyle="1" w:styleId="a8">
    <w:name w:val="Нижний колонтитул Знак"/>
    <w:basedOn w:val="a0"/>
    <w:link w:val="a7"/>
    <w:uiPriority w:val="99"/>
    <w:rsid w:val="00FA317E"/>
  </w:style>
  <w:style w:type="table" w:styleId="a9">
    <w:name w:val="Table Grid"/>
    <w:basedOn w:val="a1"/>
    <w:uiPriority w:val="59"/>
    <w:rsid w:val="004615DF"/>
    <w:pPr>
      <w:spacing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FA317E"/>
    <w:pPr>
      <w:tabs>
        <w:tab w:val="center" w:pos="4677"/>
        <w:tab w:val="right" w:pos="9355"/>
      </w:tabs>
      <w:spacing w:line="240" w:lineRule="auto"/>
    </w:pPr>
  </w:style>
  <w:style w:type="character" w:customStyle="1" w:styleId="a6">
    <w:name w:val="Верхний колонтитул Знак"/>
    <w:basedOn w:val="a0"/>
    <w:link w:val="a5"/>
    <w:uiPriority w:val="99"/>
    <w:rsid w:val="00FA317E"/>
  </w:style>
  <w:style w:type="paragraph" w:styleId="a7">
    <w:name w:val="footer"/>
    <w:basedOn w:val="a"/>
    <w:link w:val="a8"/>
    <w:uiPriority w:val="99"/>
    <w:unhideWhenUsed/>
    <w:rsid w:val="00FA317E"/>
    <w:pPr>
      <w:tabs>
        <w:tab w:val="center" w:pos="4677"/>
        <w:tab w:val="right" w:pos="9355"/>
      </w:tabs>
      <w:spacing w:line="240" w:lineRule="auto"/>
    </w:pPr>
  </w:style>
  <w:style w:type="character" w:customStyle="1" w:styleId="a8">
    <w:name w:val="Нижний колонтитул Знак"/>
    <w:basedOn w:val="a0"/>
    <w:link w:val="a7"/>
    <w:uiPriority w:val="99"/>
    <w:rsid w:val="00FA317E"/>
  </w:style>
  <w:style w:type="table" w:styleId="a9">
    <w:name w:val="Table Grid"/>
    <w:basedOn w:val="a1"/>
    <w:uiPriority w:val="59"/>
    <w:rsid w:val="004615DF"/>
    <w:pPr>
      <w:spacing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7901</Characters>
  <Application>Microsoft Office Word</Application>
  <DocSecurity>0</DocSecurity>
  <Lines>65</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ADMIN</cp:lastModifiedBy>
  <cp:revision>2</cp:revision>
  <dcterms:created xsi:type="dcterms:W3CDTF">2021-02-07T10:24:00Z</dcterms:created>
  <dcterms:modified xsi:type="dcterms:W3CDTF">2021-02-07T10:24:00Z</dcterms:modified>
</cp:coreProperties>
</file>