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11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 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                                                                    </w:t>
      </w:r>
      <w:r w:rsidRPr="0011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ЗАТВЕРДЖЕНО</w:t>
      </w: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                                                                     Директор</w:t>
      </w: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                                                                      _____________________</w:t>
      </w: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                                  Ірина БАБІН</w:t>
      </w: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11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 </w:t>
      </w: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40"/>
          <w:szCs w:val="40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40"/>
          <w:szCs w:val="40"/>
          <w:lang w:eastAsia="uk-UA"/>
        </w:rPr>
        <w:t> </w:t>
      </w:r>
    </w:p>
    <w:p w:rsidR="001147AB" w:rsidRDefault="001147AB" w:rsidP="001147AB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40"/>
          <w:szCs w:val="40"/>
          <w:lang w:eastAsia="uk-UA"/>
        </w:rPr>
        <w:t> </w:t>
      </w:r>
    </w:p>
    <w:p w:rsidR="001147AB" w:rsidRDefault="001147AB" w:rsidP="001147AB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uk-UA"/>
        </w:rPr>
      </w:pPr>
    </w:p>
    <w:p w:rsidR="001147AB" w:rsidRPr="001147AB" w:rsidRDefault="001147AB" w:rsidP="001147AB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333333"/>
          <w:sz w:val="40"/>
          <w:szCs w:val="40"/>
          <w:lang w:eastAsia="uk-UA"/>
        </w:rPr>
      </w:pPr>
    </w:p>
    <w:p w:rsidR="001147AB" w:rsidRPr="001147AB" w:rsidRDefault="001147AB" w:rsidP="001147AB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333333"/>
          <w:sz w:val="40"/>
          <w:szCs w:val="40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40"/>
          <w:szCs w:val="40"/>
          <w:lang w:eastAsia="uk-UA"/>
        </w:rPr>
        <w:t> </w:t>
      </w:r>
    </w:p>
    <w:p w:rsidR="001147AB" w:rsidRDefault="001147AB" w:rsidP="00114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40"/>
          <w:szCs w:val="40"/>
          <w:lang w:eastAsia="uk-UA"/>
        </w:rPr>
        <w:t xml:space="preserve">Положення </w:t>
      </w:r>
    </w:p>
    <w:p w:rsidR="001147AB" w:rsidRDefault="001147AB" w:rsidP="00114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40"/>
          <w:szCs w:val="40"/>
          <w:lang w:eastAsia="uk-UA"/>
        </w:rPr>
        <w:t>щодо запобігання насильству та унеможливлення жорстокого поводж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uk-UA"/>
        </w:rPr>
        <w:t xml:space="preserve">ення з дітьми у </w:t>
      </w:r>
    </w:p>
    <w:p w:rsidR="001147AB" w:rsidRPr="001147AB" w:rsidRDefault="001147AB" w:rsidP="00114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40"/>
          <w:szCs w:val="40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uk-UA"/>
        </w:rPr>
        <w:t>Пригородоцькій</w:t>
      </w:r>
      <w:proofErr w:type="spellEnd"/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uk-UA"/>
        </w:rPr>
        <w:t xml:space="preserve"> гімназії </w:t>
      </w:r>
      <w:proofErr w:type="spellStart"/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uk-UA"/>
        </w:rPr>
        <w:t>Рукшинської</w:t>
      </w:r>
      <w:proofErr w:type="spellEnd"/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uk-UA"/>
        </w:rPr>
        <w:t xml:space="preserve"> сільської ради Дністровського району Чернівецької області</w:t>
      </w:r>
    </w:p>
    <w:p w:rsidR="001147AB" w:rsidRPr="001147AB" w:rsidRDefault="001147AB" w:rsidP="001147AB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333333"/>
          <w:sz w:val="32"/>
          <w:szCs w:val="32"/>
          <w:lang w:eastAsia="uk-UA"/>
        </w:rPr>
      </w:pPr>
      <w:r w:rsidRPr="001147A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 </w:t>
      </w:r>
    </w:p>
    <w:p w:rsidR="001147AB" w:rsidRPr="001147AB" w:rsidRDefault="001147AB" w:rsidP="001147AB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 </w:t>
      </w:r>
    </w:p>
    <w:p w:rsidR="001147AB" w:rsidRPr="001147AB" w:rsidRDefault="001147AB" w:rsidP="001147AB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 </w:t>
      </w:r>
    </w:p>
    <w:p w:rsidR="001147AB" w:rsidRPr="001147AB" w:rsidRDefault="001147AB" w:rsidP="001147AB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11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                                             </w:t>
      </w:r>
    </w:p>
    <w:p w:rsidR="001147AB" w:rsidRPr="001147AB" w:rsidRDefault="001147AB" w:rsidP="001147AB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11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                                                       </w:t>
      </w:r>
    </w:p>
    <w:p w:rsidR="001147AB" w:rsidRPr="001147AB" w:rsidRDefault="001147AB" w:rsidP="001147AB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11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 </w:t>
      </w:r>
    </w:p>
    <w:p w:rsidR="001147AB" w:rsidRPr="001147AB" w:rsidRDefault="001147AB" w:rsidP="001147AB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11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 </w:t>
      </w:r>
    </w:p>
    <w:p w:rsidR="001147AB" w:rsidRPr="001147AB" w:rsidRDefault="001147AB" w:rsidP="001147AB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11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 </w:t>
      </w:r>
    </w:p>
    <w:p w:rsidR="001147AB" w:rsidRDefault="001147AB" w:rsidP="001147AB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11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 </w:t>
      </w:r>
    </w:p>
    <w:p w:rsidR="001147AB" w:rsidRDefault="001147AB" w:rsidP="001147AB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1147AB" w:rsidRPr="001147AB" w:rsidRDefault="001147AB" w:rsidP="001147AB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:rsidR="001147AB" w:rsidRPr="001147AB" w:rsidRDefault="001147AB" w:rsidP="001147AB">
      <w:pPr>
        <w:shd w:val="clear" w:color="auto" w:fill="FFFFFF"/>
        <w:spacing w:before="280" w:after="28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11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2025</w:t>
      </w:r>
    </w:p>
    <w:p w:rsidR="001147AB" w:rsidRDefault="001147AB" w:rsidP="00A0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lastRenderedPageBreak/>
        <w:t>І. ЗАГАЛЬНІ ПОЛОЖЕННЯ</w:t>
      </w:r>
    </w:p>
    <w:p w:rsidR="00F37295" w:rsidRPr="001147AB" w:rsidRDefault="00F37295" w:rsidP="00A01A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</w:p>
    <w:p w:rsidR="001147AB" w:rsidRPr="001147AB" w:rsidRDefault="001147AB" w:rsidP="00A01A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1.1. Це Положення регламентує організацію роботи щодо запобігання та</w:t>
      </w:r>
      <w:r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протидії </w:t>
      </w:r>
      <w:proofErr w:type="spellStart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лінгу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у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="00AD1D6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Пригородоцькій</w:t>
      </w:r>
      <w:proofErr w:type="spellEnd"/>
      <w:r w:rsidR="00AD1D6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гімназії </w:t>
      </w:r>
      <w:proofErr w:type="spellStart"/>
      <w:r w:rsidR="00AD1D6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Рукшинської</w:t>
      </w:r>
      <w:proofErr w:type="spellEnd"/>
      <w:r w:rsidR="00AD1D6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сільської ради Дністровського району Чернівецької області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 і розроблене</w:t>
      </w:r>
    </w:p>
    <w:p w:rsidR="001147AB" w:rsidRPr="001147AB" w:rsidRDefault="001147AB" w:rsidP="00A01A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 відповідності до: «Конституції України»; Закону України «Про освіту»;</w:t>
      </w:r>
      <w:r w:rsidR="00A01A98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Закону України «Про вищу освіту»; Закону України «Про запобігання та</w:t>
      </w:r>
      <w:r w:rsidR="00A01A98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протидію домашньому насильству»; Закону України «Про внесення змін до деяких законів України щодо запобігання насильству та унеможливлення жорстокого поводження з дітьми» №3792 від 06.06.2024</w:t>
      </w:r>
    </w:p>
    <w:p w:rsidR="001147AB" w:rsidRPr="001147AB" w:rsidRDefault="001147AB" w:rsidP="00A01A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r w:rsidRPr="001147AB">
        <w:rPr>
          <w:rFonts w:ascii="Arial" w:eastAsia="Times New Roman" w:hAnsi="Arial" w:cs="Arial"/>
          <w:color w:val="333333"/>
          <w:lang w:eastAsia="uk-UA"/>
        </w:rPr>
        <w:t> 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1.2. </w:t>
      </w:r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Основною метою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 щодо запобігання та протидії </w:t>
      </w:r>
      <w:proofErr w:type="spellStart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булінгу</w:t>
      </w:r>
      <w:proofErr w:type="spellEnd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є</w:t>
      </w:r>
    </w:p>
    <w:p w:rsidR="001147AB" w:rsidRPr="001147AB" w:rsidRDefault="001147AB" w:rsidP="00A01A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Психологічне і фізичне забезпечення та підвищення ефективност</w:t>
      </w:r>
      <w:r w:rsidR="00AD1D6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 освітнього процесу </w:t>
      </w:r>
      <w:proofErr w:type="spellStart"/>
      <w:r w:rsidR="00AD1D6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Пригородоцької</w:t>
      </w:r>
      <w:proofErr w:type="spellEnd"/>
      <w:r w:rsidR="00AD1D6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гімназії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формування негативного ставлення до </w:t>
      </w:r>
      <w:proofErr w:type="spellStart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булінгу</w:t>
      </w:r>
      <w:proofErr w:type="spellEnd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захист психологічного здоров’я і соціального благополуччя всіх його учасників.</w:t>
      </w:r>
    </w:p>
    <w:p w:rsidR="001147AB" w:rsidRPr="001147AB" w:rsidRDefault="001147AB" w:rsidP="00A01A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Arial" w:eastAsia="Times New Roman" w:hAnsi="Arial" w:cs="Arial"/>
          <w:color w:val="333333"/>
          <w:lang w:eastAsia="uk-UA"/>
        </w:rPr>
        <w:t> 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1.3. </w:t>
      </w:r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Головними завданнями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 щодо запобігання та протидії </w:t>
      </w:r>
      <w:proofErr w:type="spellStart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булінгу</w:t>
      </w:r>
      <w:proofErr w:type="spellEnd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є:</w:t>
      </w:r>
    </w:p>
    <w:p w:rsidR="001147AB" w:rsidRPr="001147AB" w:rsidRDefault="001147AB" w:rsidP="00A01A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підвищення рівня обізнаності учасників освітнього процесу про </w:t>
      </w:r>
      <w:proofErr w:type="spellStart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булінг</w:t>
      </w:r>
      <w:proofErr w:type="spellEnd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(цькування), його причини та наслідки, порядок реагування на випадки </w:t>
      </w:r>
      <w:proofErr w:type="spellStart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булінгу</w:t>
      </w:r>
      <w:proofErr w:type="spellEnd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(цькування) тощо;</w:t>
      </w: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навчання ефективним формам спілкування;</w:t>
      </w: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корекція поведінкових деструкцій;</w:t>
      </w: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навчання стратегіям конструктивного вирішення конфліктних ситуацій;</w:t>
      </w: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формування адекватної самооцінки;</w:t>
      </w: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формування навичок саморегуляції поведінки;</w:t>
      </w: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розвиток емоційного інтелекту учасників освітнього процесу,</w:t>
      </w:r>
    </w:p>
    <w:p w:rsidR="001147AB" w:rsidRDefault="001147AB" w:rsidP="00114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зокрема: розуміння та сприйняття цінності прав та свобод людини,</w:t>
      </w:r>
      <w:r w:rsidR="00A01A98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вміння відстоювати свої права та поважати права інших;</w:t>
      </w:r>
    </w:p>
    <w:p w:rsidR="00A01A98" w:rsidRPr="001147AB" w:rsidRDefault="00A01A98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</w:p>
    <w:p w:rsidR="001147AB" w:rsidRDefault="001147AB" w:rsidP="00114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ІІ ВИЗНАЧЕННЯ ТЕРМІНІВ</w:t>
      </w:r>
    </w:p>
    <w:p w:rsidR="00F37295" w:rsidRPr="001147AB" w:rsidRDefault="00F37295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 даному Положенні застосовано терміни в наступних значеннях:</w:t>
      </w:r>
    </w:p>
    <w:p w:rsidR="001147AB" w:rsidRPr="001147AB" w:rsidRDefault="001147AB" w:rsidP="00055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proofErr w:type="spellStart"/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Булінг</w:t>
      </w:r>
      <w:proofErr w:type="spellEnd"/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(цькування)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 - діяння (дії або бездіяльність) учасників освітнього процесу, які полягають у психологічному, </w:t>
      </w:r>
      <w:proofErr w:type="spellStart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фізичному,економічному</w:t>
      </w:r>
      <w:proofErr w:type="spellEnd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сексуальному насильстві, у тому числі із застосуванням засобів електронних комунікацій, що вчиняються стосовно особи та (або) такою особою стосовно інших учасників освітнього процесу, внаслідок </w:t>
      </w:r>
      <w:proofErr w:type="spellStart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чогомогла</w:t>
      </w:r>
      <w:proofErr w:type="spellEnd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бути чи була заподіяна шкода психічному або фізичному </w:t>
      </w:r>
      <w:proofErr w:type="spellStart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здоров'юпотерпілого</w:t>
      </w:r>
      <w:proofErr w:type="spellEnd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r w:rsidR="00A01A98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            </w:t>
      </w:r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Кривдник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- особа, яка вчинила насильство у будь-якій формі. особа, яка вчинила насильство у будь-якій формі.</w:t>
      </w:r>
      <w:r w:rsidR="000553A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                                                                                             </w:t>
      </w:r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Потерпілий 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(жертва </w:t>
      </w:r>
      <w:proofErr w:type="spellStart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булінгу</w:t>
      </w:r>
      <w:proofErr w:type="spellEnd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) - учасник освітнього процесу, щодо </w:t>
      </w:r>
      <w:proofErr w:type="spellStart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якоїбуло</w:t>
      </w:r>
      <w:proofErr w:type="spellEnd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вчинено </w:t>
      </w:r>
      <w:proofErr w:type="spellStart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булінг</w:t>
      </w:r>
      <w:proofErr w:type="spellEnd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(цькування).</w:t>
      </w:r>
      <w:r w:rsidR="000553A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                                                                                                           </w:t>
      </w:r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Спостерігачі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 - свідки та (або) безпосередні очевидці випадку </w:t>
      </w:r>
      <w:proofErr w:type="spellStart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булінгу</w:t>
      </w:r>
      <w:proofErr w:type="spellEnd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(цькування).</w:t>
      </w:r>
      <w:r w:rsidR="000553A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    </w:t>
      </w:r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Сторони </w:t>
      </w:r>
      <w:proofErr w:type="spellStart"/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булінгу</w:t>
      </w:r>
      <w:proofErr w:type="spellEnd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 (цькування) - безпосередні учасники </w:t>
      </w:r>
      <w:proofErr w:type="spellStart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випадку:кривдник</w:t>
      </w:r>
      <w:proofErr w:type="spellEnd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(</w:t>
      </w:r>
      <w:proofErr w:type="spellStart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булер</w:t>
      </w:r>
      <w:proofErr w:type="spellEnd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), потерпілий (жертва </w:t>
      </w:r>
      <w:proofErr w:type="spellStart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булінгу</w:t>
      </w:r>
      <w:proofErr w:type="spellEnd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), спостерігачі (за наявності).</w:t>
      </w:r>
      <w:r w:rsidR="000553A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                                       </w:t>
      </w:r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Економічний </w:t>
      </w:r>
      <w:proofErr w:type="spellStart"/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булінг</w:t>
      </w:r>
      <w:proofErr w:type="spellEnd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 (насильство) - форма </w:t>
      </w:r>
      <w:proofErr w:type="spellStart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булінгу</w:t>
      </w:r>
      <w:proofErr w:type="spellEnd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що включає умисне позбавлення їжі, одягу, іншого майна, коштів чи документів або можливості користуватися ними, перешкоджання в отриманні необхідних послуг, примушування до безоплатної праці, інші правопорушення.</w:t>
      </w: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Сексуальний </w:t>
      </w:r>
      <w:proofErr w:type="spellStart"/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булінг</w:t>
      </w:r>
      <w:proofErr w:type="spellEnd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 (насильство) -   форма </w:t>
      </w:r>
      <w:proofErr w:type="spellStart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булінгу</w:t>
      </w:r>
      <w:proofErr w:type="spellEnd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дії сексуального</w:t>
      </w:r>
      <w:r w:rsidR="000553A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характеру, виражені словесно (погрози, залякування, непристойні</w:t>
      </w:r>
      <w:r w:rsidR="000553A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заува</w:t>
      </w:r>
      <w:r w:rsidR="000553A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ження) або фізично (доторкання,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поплескування), що принижують</w:t>
      </w:r>
      <w:r w:rsidR="000553A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чи ображають осіб, які перебувають у відносинах освітнього, трудового,</w:t>
      </w:r>
      <w:r w:rsidR="000553A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службового, матеріального чи іншого підпорядкування .</w:t>
      </w: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Фізичний </w:t>
      </w:r>
      <w:proofErr w:type="spellStart"/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булінг</w:t>
      </w:r>
      <w:proofErr w:type="spellEnd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 (насильство) - форма </w:t>
      </w:r>
      <w:proofErr w:type="spellStart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булінгу</w:t>
      </w:r>
      <w:proofErr w:type="spellEnd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що включає ляпаси,</w:t>
      </w:r>
      <w:r w:rsidR="000553A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стусани, штовхання, щипання, шмагання, кусання, а також незаконне</w:t>
      </w:r>
      <w:r w:rsidR="000553A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позбавлення волі, нанесення побоїв, мордування, заподіяння тілесних</w:t>
      </w:r>
      <w:r w:rsidR="000553A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ушкоджень різного ступеня тяжкості, залишення в небезпеці, ненадання</w:t>
      </w:r>
      <w:r w:rsidR="000553A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допомоги особі, яка перебуває в небезпечному для життя стані,</w:t>
      </w: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заподіяння смерті, вчинення інших правопорушень насильницького</w:t>
      </w:r>
      <w:r w:rsidR="000553A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характеру.</w:t>
      </w: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proofErr w:type="spellStart"/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lastRenderedPageBreak/>
        <w:t>Кібербулінг</w:t>
      </w:r>
      <w:proofErr w:type="spellEnd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 (насильство) - форма </w:t>
      </w:r>
      <w:proofErr w:type="spellStart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булінгу</w:t>
      </w:r>
      <w:proofErr w:type="spellEnd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що вчиняється за</w:t>
      </w:r>
      <w:r w:rsidR="00F3729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допомогою електронних засобів комунікації.</w:t>
      </w: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Протидія </w:t>
      </w:r>
      <w:proofErr w:type="spellStart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булінгу</w:t>
      </w:r>
      <w:proofErr w:type="spellEnd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(насильству) - система заходів, що здійснюються</w:t>
      </w:r>
      <w:r w:rsidR="00F3729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="00F3729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керівництвом гімназії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а також іншими учасниками освітнього процесу, та</w:t>
      </w:r>
      <w:r w:rsidR="00F3729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спрямовані на припинення насильства, надання допомоги та захисту</w:t>
      </w:r>
      <w:r w:rsidR="00F3729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постраждалій особі, а</w:t>
      </w:r>
      <w:r w:rsidR="00F3729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також на належне розслідування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випадків насильства.</w:t>
      </w:r>
    </w:p>
    <w:p w:rsidR="001147AB" w:rsidRPr="001147AB" w:rsidRDefault="001147AB" w:rsidP="00A01A98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ІІІ. ОЗНАКИ БУЛІНГУ</w:t>
      </w:r>
    </w:p>
    <w:tbl>
      <w:tblPr>
        <w:tblW w:w="108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5"/>
      </w:tblGrid>
      <w:tr w:rsidR="001147AB" w:rsidRPr="001147AB" w:rsidTr="001147AB">
        <w:tc>
          <w:tcPr>
            <w:tcW w:w="10845" w:type="dxa"/>
            <w:shd w:val="clear" w:color="auto" w:fill="FFFFFF"/>
            <w:hideMark/>
          </w:tcPr>
          <w:p w:rsidR="001147AB" w:rsidRPr="001147AB" w:rsidRDefault="001147AB" w:rsidP="00114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</w:p>
        </w:tc>
      </w:tr>
    </w:tbl>
    <w:p w:rsidR="001147AB" w:rsidRPr="00A01A98" w:rsidRDefault="00A01A98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bookmarkStart w:id="0" w:name="n3"/>
      <w:bookmarkStart w:id="1" w:name="n141"/>
      <w:bookmarkEnd w:id="0"/>
      <w:bookmarkEnd w:id="1"/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3.1. До </w:t>
      </w:r>
      <w:proofErr w:type="spellStart"/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булінгу</w:t>
      </w:r>
      <w:proofErr w:type="spellEnd"/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у гімназії</w:t>
      </w:r>
      <w:r w:rsidR="001147AB"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належать випадки, які відбуваються</w:t>
      </w:r>
      <w:r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 </w:t>
      </w:r>
      <w:r w:rsidR="001147AB"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безпосередньо в приміщеннях</w:t>
      </w: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закладу</w:t>
      </w:r>
      <w:r w:rsidR="001147AB"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та на прилеглих територіях.</w:t>
      </w:r>
    </w:p>
    <w:p w:rsidR="001147AB" w:rsidRPr="00A01A98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3.2. </w:t>
      </w:r>
      <w:r w:rsidRPr="00A01A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Типовими ознаками</w:t>
      </w: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proofErr w:type="spellStart"/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булінгу</w:t>
      </w:r>
      <w:proofErr w:type="spellEnd"/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(цькування) є:</w:t>
      </w:r>
    </w:p>
    <w:p w:rsidR="001147AB" w:rsidRPr="00A01A98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систематичність (повторюваність) діяння;</w:t>
      </w:r>
    </w:p>
    <w:p w:rsidR="001147AB" w:rsidRPr="00A01A98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наявність сторін – кривдник (</w:t>
      </w:r>
      <w:proofErr w:type="spellStart"/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булер</w:t>
      </w:r>
      <w:proofErr w:type="spellEnd"/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), потерпілий (жертва </w:t>
      </w:r>
      <w:proofErr w:type="spellStart"/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булінгу</w:t>
      </w:r>
      <w:proofErr w:type="spellEnd"/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),</w:t>
      </w:r>
      <w:r w:rsidR="00F3729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спостерігачі (за наявності);</w:t>
      </w:r>
    </w:p>
    <w:p w:rsidR="001147AB" w:rsidRPr="00A01A98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дії кривдника, наслідком яких є заподіяння жертві </w:t>
      </w:r>
      <w:proofErr w:type="spellStart"/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булінгу</w:t>
      </w:r>
      <w:proofErr w:type="spellEnd"/>
      <w:r w:rsidR="00F3729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психічної та/або фізичної шкоди (словесні образи, погрози, у тому числі</w:t>
      </w:r>
      <w:r w:rsidR="00F3729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щодо третіх осіб, приниження переслідування, залякування, інші діяння,</w:t>
      </w:r>
      <w:r w:rsidR="00F3729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спрямовані на обмеження волевиявлення особи; будь-яка форма небажаної</w:t>
      </w:r>
      <w:r w:rsidR="00F3729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вербальної, невербальної чи фізичної поведінки сексуального характеру,</w:t>
      </w:r>
      <w:r w:rsidR="00F3729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зокрема принизливі погляди, жести, образливі рухи тіла, образи, жарти,</w:t>
      </w:r>
      <w:r w:rsidR="00F3729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поширення образливих чуток; будь-яка форма небажаної фізичної</w:t>
      </w:r>
      <w:r w:rsidR="00F3729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поведінки, зокрема ляпаси, штовхання, </w:t>
      </w:r>
      <w:proofErr w:type="spellStart"/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шипання</w:t>
      </w:r>
      <w:proofErr w:type="spellEnd"/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кусання, завдання ударів;</w:t>
      </w:r>
      <w:r w:rsidR="00F3729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інші правопорушення насильницького характеру).</w:t>
      </w:r>
    </w:p>
    <w:p w:rsidR="001147AB" w:rsidRPr="00A01A98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3.3. </w:t>
      </w:r>
      <w:r w:rsidRPr="00A01A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Проявами</w:t>
      </w: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які можуть бути підставами для підозри в</w:t>
      </w:r>
      <w:r w:rsidR="00272B7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наявності випадку </w:t>
      </w:r>
      <w:proofErr w:type="spellStart"/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булінгу</w:t>
      </w:r>
      <w:proofErr w:type="spellEnd"/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(цькування) учасника освітнього процесу у</w:t>
      </w:r>
      <w:r w:rsidR="00272B7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="00272B7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закладі</w:t>
      </w: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освіти, є:</w:t>
      </w:r>
    </w:p>
    <w:p w:rsidR="001147AB" w:rsidRPr="00A01A98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замкнутість, тривожність, страх або, навпаки, демонстрація</w:t>
      </w:r>
      <w:r w:rsidR="00272B7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повної відсутності страху, ризикована, неврівноважена поведінка;</w:t>
      </w:r>
    </w:p>
    <w:p w:rsidR="001147AB" w:rsidRPr="00A01A98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агресивність, напади люті, схильність до </w:t>
      </w:r>
      <w:proofErr w:type="spellStart"/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аутоагресії</w:t>
      </w:r>
      <w:proofErr w:type="spellEnd"/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(</w:t>
      </w:r>
      <w:proofErr w:type="spellStart"/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самоушкодження</w:t>
      </w:r>
      <w:proofErr w:type="spellEnd"/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)</w:t>
      </w:r>
      <w:r w:rsidR="00272B7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насильства;</w:t>
      </w:r>
    </w:p>
    <w:p w:rsidR="001147AB" w:rsidRPr="00A01A98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зниження когнітивних функцій та здатності до навчання;</w:t>
      </w:r>
    </w:p>
    <w:p w:rsidR="001147AB" w:rsidRPr="00A01A98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відлюдкуватість, уникнення спілкування, занижена </w:t>
      </w:r>
      <w:proofErr w:type="spellStart"/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самооцінка,наявність</w:t>
      </w:r>
      <w:proofErr w:type="spellEnd"/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почуття провини;</w:t>
      </w:r>
    </w:p>
    <w:p w:rsidR="001147AB" w:rsidRPr="00A01A98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поява швидкої втомлюваності, демонстрація страху перед появою</w:t>
      </w:r>
      <w:r w:rsidR="00272B7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інших учасників освітнього процесу;</w:t>
      </w:r>
    </w:p>
    <w:p w:rsidR="001147AB" w:rsidRPr="00A01A98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депресивні стани, </w:t>
      </w:r>
      <w:proofErr w:type="spellStart"/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суїцидальні</w:t>
      </w:r>
      <w:proofErr w:type="spellEnd"/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прояви;</w:t>
      </w:r>
    </w:p>
    <w:p w:rsidR="001147AB" w:rsidRPr="00A01A98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явні фізичні ушкодження та намагання приховати травми та обставини</w:t>
      </w:r>
      <w:r w:rsidR="00272B7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їх отримання, ознаки поганого самопочуття (нудота, головний біль, кволість</w:t>
      </w:r>
      <w:r w:rsidR="00272B7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тощо);</w:t>
      </w:r>
    </w:p>
    <w:p w:rsidR="001147AB" w:rsidRPr="00A01A98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наявність фото-, відео- та </w:t>
      </w:r>
      <w:proofErr w:type="spellStart"/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аудіоматеріалів</w:t>
      </w:r>
      <w:proofErr w:type="spellEnd"/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фізи</w:t>
      </w:r>
      <w:r w:rsidR="00272B7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чних або психологічних знущань, </w:t>
      </w: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сексуального (інтимного) змісту;</w:t>
      </w:r>
    </w:p>
    <w:p w:rsidR="001147AB" w:rsidRPr="00A01A98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наявні пошкодження або зникнення майна та (або) особистих речей;</w:t>
      </w:r>
    </w:p>
    <w:p w:rsidR="001147AB" w:rsidRPr="00A01A98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ізоляція, виключення з групи, небажання інших учасників освітнього процесу спілкуватися.</w:t>
      </w:r>
    </w:p>
    <w:p w:rsidR="001147AB" w:rsidRPr="00A01A98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01A9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 </w:t>
      </w:r>
    </w:p>
    <w:p w:rsidR="001147AB" w:rsidRPr="001147AB" w:rsidRDefault="001147AB" w:rsidP="001147AB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ІV. ЗАПОБІГАННЯ ТА ПРОТИДІЯ БУЛІНГУ (ЦЬКУВАННЮ)</w:t>
      </w: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4.1. </w:t>
      </w:r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Діяльність щодо запобігання та протидії </w:t>
      </w:r>
      <w:proofErr w:type="spellStart"/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булінгу</w:t>
      </w:r>
      <w:proofErr w:type="spellEnd"/>
      <w:r w:rsidR="00A01A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(цькуванню) у гімназії</w:t>
      </w:r>
      <w:r w:rsidR="00A01A98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має бути постійним системним процесом, спрямованим на:</w:t>
      </w: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виявлення </w:t>
      </w:r>
      <w:proofErr w:type="spellStart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булінгу</w:t>
      </w:r>
      <w:proofErr w:type="spellEnd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(цькування) та (або) потенційних ризиків його</w:t>
      </w:r>
      <w:r w:rsidR="00272B7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виникнення;</w:t>
      </w: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визначення та реалізацію необхідних заходів, способів і методів</w:t>
      </w:r>
      <w:r w:rsidR="00272B7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вирішення ситуацій </w:t>
      </w:r>
      <w:proofErr w:type="spellStart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булінгу</w:t>
      </w:r>
      <w:proofErr w:type="spellEnd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(цькування) та/або усунення потенційних</w:t>
      </w:r>
      <w:r w:rsidR="00272B7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ризиків його виникнення.</w:t>
      </w: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4.2</w:t>
      </w:r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. Запобігання </w:t>
      </w:r>
      <w:proofErr w:type="spellStart"/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булінгу</w:t>
      </w:r>
      <w:proofErr w:type="spellEnd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передбачає роботу за такими напрямками:</w:t>
      </w: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ознайомленн</w:t>
      </w:r>
      <w:r w:rsidR="00272B7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я педагогічних працівників</w:t>
      </w:r>
      <w:r w:rsidR="00272B7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особливостями прояву та ознаками </w:t>
      </w:r>
      <w:proofErr w:type="spellStart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булінгу</w:t>
      </w:r>
      <w:proofErr w:type="spellEnd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у різних його формах;</w:t>
      </w: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просвітницька роб</w:t>
      </w:r>
      <w:r w:rsidR="00272B7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ота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серед здобувачів освіти щодо</w:t>
      </w:r>
      <w:r w:rsidR="00272B7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попередження насильства з використанням основних форм роботи, а саме:</w:t>
      </w: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психологічних консультацій, тренінгів, рольових ігор, міні-лекцій, круглих</w:t>
      </w:r>
      <w:r w:rsidR="00272B7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столів, бесід, диспутів, кінолекторіїв, організації акцій, виступи провідних</w:t>
      </w:r>
      <w:r w:rsidR="00272B7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спеціалістів у системі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профілактичної роботи щодо подолання різноманітних форм агресивної поведінки серед юнаків;</w:t>
      </w: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профілактична робота класних керівникі</w:t>
      </w:r>
      <w:r w:rsidR="007F115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серед</w:t>
      </w:r>
      <w:r w:rsidR="007F115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здобувачів освіти як своєчасне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попередження відхилень у психічному та особистісному розвиткові міжособистісних стосунках, запобігання конфліктним ситуаціям в освітньому процесі, попередження наркоманії, алкоголізму, суїцидів, расової і соціальної нетерпимості, аморальному способу життя та ін.;</w:t>
      </w: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формування правосвідомості і правової повед</w:t>
      </w:r>
      <w:r w:rsidR="007F115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інки здобув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ачів освіти,</w:t>
      </w:r>
      <w:r w:rsidR="007F115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відповідальності за своє життя, розвиток активності, самостійності, творчості;</w:t>
      </w:r>
    </w:p>
    <w:p w:rsidR="001147AB" w:rsidRPr="001147AB" w:rsidRDefault="007F115F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формування у вчителів</w:t>
      </w:r>
      <w:r w:rsidR="001147AB"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та батьків навичок ідентифікації насильства як у своїй поведінці, так і в поведінці дітей з метою формування умінь</w:t>
      </w:r>
      <w:r w:rsidR="00B13D8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="001147AB"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формування у педагогів та батьків навичок ідентифікації насильства</w:t>
      </w:r>
      <w:r w:rsidR="00B13D8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="001147AB"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як у своїй поведінці, так і в поведінці дітей з метою формування умінь</w:t>
      </w:r>
      <w:r w:rsidR="00B13D8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="001147AB"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виокремлювати існуючу проблему;</w:t>
      </w:r>
    </w:p>
    <w:p w:rsidR="001147AB" w:rsidRPr="001147AB" w:rsidRDefault="00B13D80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створення у гімназії</w:t>
      </w:r>
      <w:r w:rsidR="001147AB"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умов недопущення </w:t>
      </w:r>
      <w:proofErr w:type="spellStart"/>
      <w:r w:rsidR="001147AB"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булінгу</w:t>
      </w:r>
      <w:proofErr w:type="spellEnd"/>
      <w:r w:rsidR="001147AB"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та відповідного</w:t>
      </w:r>
      <w:r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="001147AB"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середовища та боротьби з негативними соціально-педагогічними наслідками цього явища.</w:t>
      </w: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4.3. Протидії </w:t>
      </w:r>
      <w:proofErr w:type="spellStart"/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булінгу</w:t>
      </w:r>
      <w:proofErr w:type="spellEnd"/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передбачають роботу за такими напрямками:</w:t>
      </w: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- діагностика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– соціальне і психологічне вивчення стану учасників освітнього процесу, моніторинг соціальних процесів та психічного розвитку окремих учнів, визначення причин, що ускладнюють особистісний розвиток, навчання та взаємини в колективі;</w:t>
      </w: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- корекція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 – здійснення психолого-педагогічних</w:t>
      </w:r>
      <w:r w:rsidR="002D2926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заходів з метою усунення відхилень у психічному та особистісному</w:t>
      </w:r>
      <w:r w:rsidR="002D2926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розвиткові і поведінці, подолання різних форм девіантної поведінки,</w:t>
      </w:r>
      <w:r w:rsidR="002D2926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психосоматичних станів у жертв </w:t>
      </w:r>
      <w:proofErr w:type="spellStart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булінгу</w:t>
      </w:r>
      <w:proofErr w:type="spellEnd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:rsidR="001147AB" w:rsidRPr="002D2926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 </w:t>
      </w:r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реабілітація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– надання психолого-педагогічної і соціальної допомоги здобувачам освіти</w:t>
      </w:r>
      <w:r w:rsidR="002D2926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,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які перебувають у кризовій життєвій ситуації, з метою адаптації їх</w:t>
      </w:r>
      <w:r w:rsidR="002D2926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 w:rsidR="002D2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до умов навчання в гімназії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та соціального середовища;</w:t>
      </w:r>
    </w:p>
    <w:p w:rsidR="00A01A98" w:rsidRPr="001147AB" w:rsidRDefault="00A01A98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V. ПОРЯ</w:t>
      </w:r>
      <w:r w:rsidR="00A01A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ДОК РЕАГУВАННЯ ПРАЦІВНИКІВ  ГІМНАЗІЇ </w:t>
      </w:r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НА ВИЯВЛЕНІ ФАКТИ БУЛІНГУ</w:t>
      </w:r>
    </w:p>
    <w:p w:rsidR="001147AB" w:rsidRPr="001147AB" w:rsidRDefault="001147AB" w:rsidP="00A01A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4.1.</w:t>
      </w:r>
      <w:r w:rsidR="00A01A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Директор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p w:rsidR="002D2926" w:rsidRDefault="001147AB" w:rsidP="002D29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розглядає усні та письмові заяви (скарги, повідомлення) про випадки насильства або жорсток</w:t>
      </w:r>
      <w:r w:rsidR="002D2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ого поводження з дитиною у гімназії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протягом однієї доби з моменту надходження та у разі виявлення ознак насильства або жорстокого поводження з дитиною невідкладно повідомляє про це батьків, інших законних представників дитини, а також письмово повідомляє уповноважений підрозділ органу Національної поліції України та службу у справах дітей;</w:t>
      </w:r>
      <w:bookmarkStart w:id="2" w:name="n29"/>
      <w:bookmarkEnd w:id="2"/>
    </w:p>
    <w:p w:rsidR="001147AB" w:rsidRPr="001147AB" w:rsidRDefault="001147AB" w:rsidP="002D29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сприяє проходженню особами, які вчинили насильство або жорстоке поводження з дитиною, стали свідком або постраждали від насильства або жорстокого поводження, відповідної програми для таких осіб.</w:t>
      </w:r>
    </w:p>
    <w:p w:rsidR="001147AB" w:rsidRPr="001147AB" w:rsidRDefault="001147AB" w:rsidP="00A01A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4.2</w:t>
      </w:r>
      <w:r w:rsidR="00A01A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.Працівники гімназії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у разі виявлення ознак насильства або жорстокого поводження з дитиною зобов’язані:</w:t>
      </w:r>
    </w:p>
    <w:p w:rsidR="001147AB" w:rsidRPr="001147AB" w:rsidRDefault="001147AB" w:rsidP="00A01A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bookmarkStart w:id="3" w:name="n31"/>
      <w:bookmarkEnd w:id="3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-вжити невідкладних заходів для припинення насильства або жорстокого поводження з дитиною;</w:t>
      </w: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bookmarkStart w:id="4" w:name="n32"/>
      <w:bookmarkEnd w:id="4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-за потреби надати </w:t>
      </w:r>
      <w:proofErr w:type="spellStart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домедичну</w:t>
      </w:r>
      <w:proofErr w:type="spellEnd"/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допомогу, викликати бригаду екстреної (швидкої) медичної допомоги та звернутися до органів Національної поліції України;</w:t>
      </w:r>
    </w:p>
    <w:p w:rsidR="001147AB" w:rsidRPr="001147AB" w:rsidRDefault="002D2926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bookmarkStart w:id="5" w:name="n33"/>
      <w:bookmarkEnd w:id="5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-повідомити директора </w:t>
      </w:r>
      <w:r w:rsidR="001147AB"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та принаймні одного з батьків або інших законних представників дитини, яка вчинила насильство або жорстоке поводження, та дитини, яка постраждала від насильства або жорстокого поводження.</w:t>
      </w:r>
    </w:p>
    <w:p w:rsidR="001147AB" w:rsidRPr="001147AB" w:rsidRDefault="001147AB" w:rsidP="0011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4.3</w:t>
      </w:r>
      <w:r w:rsidRPr="00114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.Батьки або інші законні представники дитини</w:t>
      </w: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мають право отримувати інформацію щодо порядку та умов проходження їхньою дитиною, яка постраждала від насильства або жорстокого поводження, стала свідком насильства або жорстокого поводження, відповідних програм для таких осіб.</w:t>
      </w:r>
    </w:p>
    <w:p w:rsidR="001C095A" w:rsidRPr="002D2926" w:rsidRDefault="001147AB" w:rsidP="002D2926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7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bookmarkStart w:id="6" w:name="_GoBack"/>
      <w:bookmarkEnd w:id="6"/>
    </w:p>
    <w:sectPr w:rsidR="001C095A" w:rsidRPr="002D29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6D"/>
    <w:rsid w:val="000553A2"/>
    <w:rsid w:val="001147AB"/>
    <w:rsid w:val="001A0C28"/>
    <w:rsid w:val="001C095A"/>
    <w:rsid w:val="00272B74"/>
    <w:rsid w:val="002D2926"/>
    <w:rsid w:val="003B2257"/>
    <w:rsid w:val="007A5070"/>
    <w:rsid w:val="007C73B9"/>
    <w:rsid w:val="007F115F"/>
    <w:rsid w:val="00A01A98"/>
    <w:rsid w:val="00A55E6D"/>
    <w:rsid w:val="00AD1D6B"/>
    <w:rsid w:val="00B13D80"/>
    <w:rsid w:val="00CD3E07"/>
    <w:rsid w:val="00EA58C0"/>
    <w:rsid w:val="00F3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085E8-0FAC-46B6-BE49-1D38F8CF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147AB"/>
    <w:rPr>
      <w:b/>
      <w:bCs/>
    </w:rPr>
  </w:style>
  <w:style w:type="character" w:styleId="a5">
    <w:name w:val="Emphasis"/>
    <w:basedOn w:val="a0"/>
    <w:uiPriority w:val="20"/>
    <w:qFormat/>
    <w:rsid w:val="001147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6964</Words>
  <Characters>3971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Пригородок</dc:creator>
  <cp:keywords/>
  <dc:description/>
  <cp:lastModifiedBy>Пригородок</cp:lastModifiedBy>
  <cp:revision>13</cp:revision>
  <dcterms:created xsi:type="dcterms:W3CDTF">2025-11-24T10:45:00Z</dcterms:created>
  <dcterms:modified xsi:type="dcterms:W3CDTF">2025-11-24T12:23:00Z</dcterms:modified>
</cp:coreProperties>
</file>