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53" w:rsidRPr="005B2EC3" w:rsidRDefault="007C1753" w:rsidP="007C1753">
      <w:pPr>
        <w:tabs>
          <w:tab w:val="left" w:pos="426"/>
        </w:tabs>
        <w:spacing w:line="276" w:lineRule="auto"/>
        <w:ind w:right="-1"/>
        <w:jc w:val="right"/>
        <w:outlineLvl w:val="5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Додаток 1</w:t>
      </w:r>
    </w:p>
    <w:p w:rsidR="007C1753" w:rsidRPr="005B2EC3" w:rsidRDefault="007C1753" w:rsidP="007C175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bookmarkStart w:id="0" w:name="_Toc143354511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 наказу №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74</w:t>
      </w:r>
    </w:p>
    <w:p w:rsidR="007C1753" w:rsidRPr="005B2EC3" w:rsidRDefault="007C1753" w:rsidP="007C175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bookmarkStart w:id="1" w:name="_Toc143354512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 </w:t>
      </w: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.09.2023 р.</w:t>
      </w:r>
      <w:bookmarkEnd w:id="1"/>
    </w:p>
    <w:p w:rsidR="007C1753" w:rsidRPr="005B2EC3" w:rsidRDefault="007C1753" w:rsidP="007C1753">
      <w:pPr>
        <w:tabs>
          <w:tab w:val="left" w:pos="426"/>
        </w:tabs>
        <w:spacing w:after="200" w:line="276" w:lineRule="auto"/>
        <w:ind w:right="-1" w:firstLine="709"/>
        <w:jc w:val="right"/>
        <w:outlineLvl w:val="5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7C1753" w:rsidRPr="005B2EC3" w:rsidRDefault="007C1753" w:rsidP="007C1753">
      <w:pPr>
        <w:tabs>
          <w:tab w:val="left" w:pos="426"/>
        </w:tabs>
        <w:spacing w:after="200" w:line="276" w:lineRule="auto"/>
        <w:ind w:right="-1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Алгоритм дій працівника навчального закладу у разі виявлення випадку насильства над дитиною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 У випадках, коли ви маєте підозри жорстокого поводження з дитиною або є реальна загроза його вчинення (удома, з боку однолітків, інших працівників навчального закладу або інших осіб), ваші дії: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Повідомити про це в усній чи письмовій формі адміністрацію навчального закладу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 Самостійно письмово повідомити про це територіальний підрозділ служби у справах дітей за місцем проживання дитини.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 Самостійно повідомити про виявлений факт жорстокого поводження з дитиною територіальний відділ ювенальної превенції.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 У випадках, коли до вас звернулася дитина з усною скаргою щодо жорстокого поводження з нею, ваші дії: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5.1.Оформити звернення дитини у письмовій формі та передати його до адміністрації навчального закладу;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5.2.Оформити звернення дитини у письмовій формі та передати його до територіального підрозділу служби у справах дітей;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5.3.Оформити звернення дитини у письмовій формі та передати його до органів ювенальної превенції;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5.4.Повідомити про це в усній чи письмовій формі від свого імені вказані (перераховані) вище органи.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 У випадках, коли ви стали свідком жорстокого поводження з дитиною, ваші дії: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6.1.Якомога швидше повідомити про цей факт адміністрацію навчального закладу;</w:t>
      </w:r>
    </w:p>
    <w:p w:rsidR="007C175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6.2.Одночасно повідомити територіальний підрозділ служби у справах дітей та поліцію.</w:t>
      </w:r>
      <w:bookmarkStart w:id="2" w:name="_Toc143354513"/>
    </w:p>
    <w:p w:rsidR="007C1753" w:rsidRPr="00664C9B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/>
        </w:rPr>
        <w:t>Дії адміністрації навчального закладу у разі отримання повідомлення про жорстоке поводження з дитиною</w:t>
      </w:r>
      <w:bookmarkEnd w:id="2"/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 У разі звернення дитини, її батьків (осіб, які їх замінюють) або працівника навчального закладу до представника адміністрації навчального закладу щодо жорстокого поводження з нею адміністратор зобов’язаний: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1.1. якщо звернення (повідомлення) усне, оформити це повідомлення письмово, зазначивши, від кого та коли (дата, час) воно отримано;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1.2. звернення має бути оформлене належним чином, відповідно до вимог Закону України «Про звернення громадян» (має бути зазначено прізвище, ім’я, по батькові, місце проживання громадянина, викладено суть порушеного питання);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1.3. письмове звернення повинно бути підписано заявником (заявниками) із зазначенням дати.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Необхідно терміново (протягом однієї доби) передати цей документ до територіального підрозділу Служби у справах дітей за місцем проживання дитини.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 Необхідно терміново (протягом однієї доби) повідомити Управління  міської ради.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</w:pPr>
      <w:bookmarkStart w:id="3" w:name="_Toc143354514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 xml:space="preserve">Порядок подання заяв про випадки </w:t>
      </w:r>
      <w:proofErr w:type="spellStart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 xml:space="preserve"> (цькування)</w:t>
      </w:r>
      <w:bookmarkEnd w:id="3"/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Цей Порядок визначає процедуру подання та розгляду заяв про випадки </w:t>
      </w:r>
      <w:proofErr w:type="spellStart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(цькуванню).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Заявниками можуть бути здобувачі освіти, їх батьки/законні представники, працівники та педагогічні працівники школи та інші особи.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 Заявник забезпечує достовірність та повноту наданої інформації.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4.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spellStart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(цькування), учасниками або свідками якого 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директору школи.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5. Розгляд та неупереджене з’ясування обставин випадків </w:t>
      </w:r>
      <w:proofErr w:type="spellStart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(цькування) здійснюється відповідно до поданих заявниками заяв про випадки </w:t>
      </w:r>
      <w:proofErr w:type="spellStart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(цькування) (далі – Заява).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 Заяви, що надійшли на електронну пошту школи отримує секретар, яка зобов’язана терміново повідомити керівника закладу.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7. Прийом та реєстрацію поданих Заяв здійснює особисто директор школи або його заступник.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8. Заяви реєструються в окремому журналі реєстрації заяв про випадки </w:t>
      </w:r>
      <w:proofErr w:type="spellStart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(цькування).</w:t>
      </w:r>
    </w:p>
    <w:p w:rsidR="007C1753" w:rsidRPr="005B2EC3" w:rsidRDefault="007C1753" w:rsidP="007C1753">
      <w:pPr>
        <w:tabs>
          <w:tab w:val="left" w:pos="426"/>
        </w:tabs>
        <w:spacing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9. Датою подання заяв є дата їх прийняття.</w:t>
      </w:r>
    </w:p>
    <w:p w:rsidR="007C1753" w:rsidRPr="005B2EC3" w:rsidRDefault="007C1753" w:rsidP="007C1753">
      <w:pPr>
        <w:tabs>
          <w:tab w:val="left" w:pos="426"/>
        </w:tabs>
        <w:spacing w:after="295" w:line="276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10. Розгляд Заяв здійснює директор школи з дотриманням конфіденційності.</w:t>
      </w:r>
    </w:p>
    <w:p w:rsidR="007C1753" w:rsidRPr="00664C9B" w:rsidRDefault="007C1753" w:rsidP="007C175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664C9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Директор   </w:t>
      </w:r>
      <w:r w:rsidRPr="00664C9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</w:r>
      <w:r w:rsidRPr="00664C9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  <w:t xml:space="preserve">                               </w:t>
      </w:r>
      <w:r w:rsidRPr="00664C9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</w:r>
      <w:r w:rsidRPr="00664C9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Тетяна КИРИСЮК</w:t>
      </w:r>
      <w:r w:rsidRPr="00664C9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7C1753" w:rsidRDefault="007C1753" w:rsidP="007C175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наказом ознайомлені: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Н.В.Осадчук</w:t>
      </w:r>
      <w:proofErr w:type="spellEnd"/>
    </w:p>
    <w:p w:rsidR="00B81261" w:rsidRDefault="007C1753" w:rsidP="007C1753"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Т.В.Зелінська</w:t>
      </w:r>
      <w:bookmarkStart w:id="4" w:name="_GoBack"/>
      <w:bookmarkEnd w:id="4"/>
      <w:proofErr w:type="spellEnd"/>
    </w:p>
    <w:sectPr w:rsidR="00B8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53"/>
    <w:rsid w:val="007C1753"/>
    <w:rsid w:val="00B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2024-02-25T12:05:00Z</dcterms:created>
  <dcterms:modified xsi:type="dcterms:W3CDTF">2024-02-25T12:05:00Z</dcterms:modified>
</cp:coreProperties>
</file>