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tblPr>
      <w:tblGrid>
        <w:gridCol w:w="4103"/>
        <w:gridCol w:w="6082"/>
      </w:tblGrid>
      <w:tr w:rsidR="00475E34" w:rsidRPr="00475E34" w:rsidTr="00475E34">
        <w:tc>
          <w:tcPr>
            <w:tcW w:w="0" w:type="auto"/>
            <w:tcBorders>
              <w:top w:val="nil"/>
              <w:left w:val="nil"/>
              <w:bottom w:val="nil"/>
              <w:right w:val="nil"/>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lang w:eastAsia="ru-RU"/>
              </w:rPr>
              <w:t>Схвалено </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lang w:eastAsia="ru-RU"/>
              </w:rPr>
              <w:t>педагогічною радою </w:t>
            </w:r>
          </w:p>
          <w:p w:rsidR="00475E34" w:rsidRPr="00475E34" w:rsidRDefault="00102CAD" w:rsidP="00475E3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протокол № 1від 28</w:t>
            </w:r>
            <w:r w:rsidR="00475E34">
              <w:rPr>
                <w:rFonts w:ascii="Times New Roman" w:eastAsia="Times New Roman" w:hAnsi="Times New Roman" w:cs="Times New Roman"/>
                <w:b/>
                <w:bCs/>
                <w:sz w:val="28"/>
                <w:szCs w:val="28"/>
                <w:lang w:eastAsia="ru-RU"/>
              </w:rPr>
              <w:t>.08</w:t>
            </w:r>
            <w:r w:rsidR="00475E34" w:rsidRPr="00475E34">
              <w:rPr>
                <w:rFonts w:ascii="Times New Roman" w:eastAsia="Times New Roman" w:hAnsi="Times New Roman" w:cs="Times New Roman"/>
                <w:b/>
                <w:bCs/>
                <w:sz w:val="28"/>
                <w:szCs w:val="28"/>
                <w:lang w:eastAsia="ru-RU"/>
              </w:rPr>
              <w:t>.20</w:t>
            </w:r>
            <w:r w:rsidR="00475E34">
              <w:rPr>
                <w:rFonts w:ascii="Times New Roman" w:eastAsia="Times New Roman" w:hAnsi="Times New Roman" w:cs="Times New Roman"/>
                <w:b/>
                <w:bCs/>
                <w:sz w:val="28"/>
                <w:szCs w:val="28"/>
                <w:lang w:eastAsia="ru-RU"/>
              </w:rPr>
              <w:t>20</w:t>
            </w:r>
          </w:p>
        </w:tc>
        <w:tc>
          <w:tcPr>
            <w:tcW w:w="0" w:type="auto"/>
            <w:tcBorders>
              <w:top w:val="nil"/>
              <w:left w:val="nil"/>
              <w:bottom w:val="nil"/>
              <w:right w:val="nil"/>
            </w:tcBorders>
            <w:shd w:val="clear" w:color="auto" w:fill="FFFFFF"/>
            <w:vAlign w:val="bottom"/>
            <w:hideMark/>
          </w:tcPr>
          <w:p w:rsidR="00475E34" w:rsidRPr="00475E34" w:rsidRDefault="00475E34" w:rsidP="00475E34">
            <w:pPr>
              <w:spacing w:after="0" w:line="240" w:lineRule="auto"/>
              <w:jc w:val="right"/>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lang w:eastAsia="ru-RU"/>
              </w:rPr>
              <w:t>Затверджую </w:t>
            </w:r>
          </w:p>
          <w:p w:rsidR="00475E34" w:rsidRPr="00475E34" w:rsidRDefault="00475E34" w:rsidP="00475E34">
            <w:pPr>
              <w:spacing w:after="0" w:line="240" w:lineRule="auto"/>
              <w:jc w:val="right"/>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lang w:eastAsia="ru-RU"/>
              </w:rPr>
              <w:t>Директор ш</w:t>
            </w:r>
            <w:r>
              <w:rPr>
                <w:rFonts w:ascii="Times New Roman" w:eastAsia="Times New Roman" w:hAnsi="Times New Roman" w:cs="Times New Roman"/>
                <w:b/>
                <w:bCs/>
                <w:sz w:val="28"/>
                <w:szCs w:val="28"/>
                <w:lang w:eastAsia="ru-RU"/>
              </w:rPr>
              <w:t>коли                  Л.М.Борзова</w:t>
            </w:r>
            <w:r w:rsidRPr="00475E34">
              <w:rPr>
                <w:rFonts w:ascii="Times New Roman" w:eastAsia="Times New Roman" w:hAnsi="Times New Roman" w:cs="Times New Roman"/>
                <w:b/>
                <w:bCs/>
                <w:sz w:val="28"/>
                <w:szCs w:val="28"/>
                <w:lang w:eastAsia="ru-RU"/>
              </w:rPr>
              <w:t> </w:t>
            </w:r>
          </w:p>
          <w:p w:rsidR="00475E34" w:rsidRPr="00475E34" w:rsidRDefault="001B2DDE" w:rsidP="009003BE">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наказ № </w:t>
            </w:r>
            <w:r>
              <w:rPr>
                <w:rFonts w:ascii="Times New Roman" w:eastAsia="Times New Roman" w:hAnsi="Times New Roman" w:cs="Times New Roman"/>
                <w:b/>
                <w:bCs/>
                <w:sz w:val="28"/>
                <w:szCs w:val="28"/>
                <w:lang w:val="uk-UA" w:eastAsia="ru-RU"/>
              </w:rPr>
              <w:t>83</w:t>
            </w:r>
            <w:r>
              <w:rPr>
                <w:rFonts w:ascii="Times New Roman" w:eastAsia="Times New Roman" w:hAnsi="Times New Roman" w:cs="Times New Roman"/>
                <w:b/>
                <w:bCs/>
                <w:sz w:val="28"/>
                <w:szCs w:val="28"/>
                <w:lang w:eastAsia="ru-RU"/>
              </w:rPr>
              <w:t xml:space="preserve"> від </w:t>
            </w:r>
            <w:r>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val="uk-UA" w:eastAsia="ru-RU"/>
              </w:rPr>
              <w:t>08</w:t>
            </w:r>
            <w:r w:rsidR="00475E34" w:rsidRPr="00475E34">
              <w:rPr>
                <w:rFonts w:ascii="Times New Roman" w:eastAsia="Times New Roman" w:hAnsi="Times New Roman" w:cs="Times New Roman"/>
                <w:b/>
                <w:bCs/>
                <w:sz w:val="28"/>
                <w:szCs w:val="28"/>
                <w:lang w:eastAsia="ru-RU"/>
              </w:rPr>
              <w:t>.20</w:t>
            </w:r>
            <w:r w:rsidR="009003BE">
              <w:rPr>
                <w:rFonts w:ascii="Times New Roman" w:eastAsia="Times New Roman" w:hAnsi="Times New Roman" w:cs="Times New Roman"/>
                <w:b/>
                <w:bCs/>
                <w:sz w:val="28"/>
                <w:szCs w:val="28"/>
                <w:lang w:eastAsia="ru-RU"/>
              </w:rPr>
              <w:t>20</w:t>
            </w:r>
          </w:p>
        </w:tc>
      </w:tr>
    </w:tbl>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ПОЛОЖЕННЯ</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про академічну доброчесність учасників освітнього процесу</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r w:rsidRPr="00475E34">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eastAsia="ru-RU"/>
        </w:rPr>
        <w:t>загально</w:t>
      </w:r>
      <w:r>
        <w:rPr>
          <w:rFonts w:ascii="Times New Roman" w:eastAsia="Times New Roman" w:hAnsi="Times New Roman" w:cs="Times New Roman"/>
          <w:b/>
          <w:bCs/>
          <w:sz w:val="28"/>
          <w:szCs w:val="28"/>
          <w:bdr w:val="none" w:sz="0" w:space="0" w:color="auto" w:frame="1"/>
          <w:lang w:val="uk-UA" w:eastAsia="ru-RU"/>
        </w:rPr>
        <w:t xml:space="preserve">освітньої </w:t>
      </w:r>
      <w:r w:rsidRPr="00475E34">
        <w:rPr>
          <w:rFonts w:ascii="Times New Roman" w:eastAsia="Times New Roman" w:hAnsi="Times New Roman" w:cs="Times New Roman"/>
          <w:b/>
          <w:bCs/>
          <w:sz w:val="28"/>
          <w:szCs w:val="28"/>
          <w:bdr w:val="none" w:sz="0" w:space="0" w:color="auto" w:frame="1"/>
          <w:lang w:eastAsia="ru-RU"/>
        </w:rPr>
        <w:t xml:space="preserve"> школи І-ІІІ ступенів №</w:t>
      </w:r>
      <w:r>
        <w:rPr>
          <w:rFonts w:ascii="Times New Roman" w:eastAsia="Times New Roman" w:hAnsi="Times New Roman" w:cs="Times New Roman"/>
          <w:b/>
          <w:bCs/>
          <w:sz w:val="28"/>
          <w:szCs w:val="28"/>
          <w:bdr w:val="none" w:sz="0" w:space="0" w:color="auto" w:frame="1"/>
          <w:lang w:val="uk-UA" w:eastAsia="ru-RU"/>
        </w:rPr>
        <w:t>14</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Покровської</w:t>
      </w:r>
      <w:r w:rsidRPr="00475E34">
        <w:rPr>
          <w:rFonts w:ascii="Times New Roman" w:eastAsia="Times New Roman" w:hAnsi="Times New Roman" w:cs="Times New Roman"/>
          <w:b/>
          <w:bCs/>
          <w:sz w:val="28"/>
          <w:szCs w:val="28"/>
          <w:bdr w:val="none" w:sz="0" w:space="0" w:color="auto" w:frame="1"/>
          <w:lang w:eastAsia="ru-RU"/>
        </w:rPr>
        <w:t xml:space="preserve"> міської ради </w:t>
      </w:r>
      <w:r>
        <w:rPr>
          <w:rFonts w:ascii="Times New Roman" w:eastAsia="Times New Roman" w:hAnsi="Times New Roman" w:cs="Times New Roman"/>
          <w:b/>
          <w:bCs/>
          <w:sz w:val="28"/>
          <w:szCs w:val="28"/>
          <w:bdr w:val="none" w:sz="0" w:space="0" w:color="auto" w:frame="1"/>
          <w:lang w:val="uk-UA" w:eastAsia="ru-RU"/>
        </w:rPr>
        <w:t xml:space="preserve">Донецької </w:t>
      </w:r>
      <w:r w:rsidRPr="00475E34">
        <w:rPr>
          <w:rFonts w:ascii="Times New Roman" w:eastAsia="Times New Roman" w:hAnsi="Times New Roman" w:cs="Times New Roman"/>
          <w:b/>
          <w:bCs/>
          <w:sz w:val="28"/>
          <w:szCs w:val="28"/>
          <w:bdr w:val="none" w:sz="0" w:space="0" w:color="auto" w:frame="1"/>
          <w:lang w:eastAsia="ru-RU"/>
        </w:rPr>
        <w:t>області</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І. Загальні положення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xml:space="preserve">1.1. Положення про академічну доброчесність </w:t>
      </w:r>
      <w:r>
        <w:rPr>
          <w:rFonts w:ascii="Times New Roman" w:eastAsia="Times New Roman" w:hAnsi="Times New Roman" w:cs="Times New Roman"/>
          <w:sz w:val="28"/>
          <w:szCs w:val="28"/>
          <w:lang w:val="uk-UA" w:eastAsia="ru-RU"/>
        </w:rPr>
        <w:t xml:space="preserve">загальноосвітньої </w:t>
      </w:r>
      <w:r>
        <w:rPr>
          <w:rFonts w:ascii="Times New Roman" w:eastAsia="Times New Roman" w:hAnsi="Times New Roman" w:cs="Times New Roman"/>
          <w:sz w:val="28"/>
          <w:szCs w:val="28"/>
          <w:lang w:eastAsia="ru-RU"/>
        </w:rPr>
        <w:t xml:space="preserve"> школи І-ІІІ ступенів №</w:t>
      </w:r>
      <w:r>
        <w:rPr>
          <w:rFonts w:ascii="Times New Roman" w:eastAsia="Times New Roman" w:hAnsi="Times New Roman" w:cs="Times New Roman"/>
          <w:sz w:val="28"/>
          <w:szCs w:val="28"/>
          <w:lang w:val="uk-UA" w:eastAsia="ru-RU"/>
        </w:rPr>
        <w:t>14</w:t>
      </w:r>
      <w:r w:rsidRPr="00475E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покровської </w:t>
      </w:r>
      <w:r w:rsidRPr="00475E34">
        <w:rPr>
          <w:rFonts w:ascii="Times New Roman" w:eastAsia="Times New Roman" w:hAnsi="Times New Roman" w:cs="Times New Roman"/>
          <w:sz w:val="28"/>
          <w:szCs w:val="28"/>
          <w:lang w:eastAsia="ru-RU"/>
        </w:rPr>
        <w:t xml:space="preserve">міської ради </w:t>
      </w:r>
      <w:r>
        <w:rPr>
          <w:rFonts w:ascii="Times New Roman" w:eastAsia="Times New Roman" w:hAnsi="Times New Roman" w:cs="Times New Roman"/>
          <w:sz w:val="28"/>
          <w:szCs w:val="28"/>
          <w:lang w:val="uk-UA" w:eastAsia="ru-RU"/>
        </w:rPr>
        <w:t xml:space="preserve">Донецької </w:t>
      </w:r>
      <w:r w:rsidRPr="00475E34">
        <w:rPr>
          <w:rFonts w:ascii="Times New Roman" w:eastAsia="Times New Roman" w:hAnsi="Times New Roman" w:cs="Times New Roman"/>
          <w:sz w:val="28"/>
          <w:szCs w:val="28"/>
          <w:lang w:eastAsia="ru-RU"/>
        </w:rPr>
        <w:t xml:space="preserve">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 ІІ. Принципи, норми етики та забезпечення академічної доброчесності </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2.2. Порушеннями академічної доброчесності згідно ст.42 п. 4 Закону України «Про освіту» вважається:</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Академічний плагіат</w:t>
      </w:r>
      <w:r w:rsidRPr="00475E34">
        <w:rPr>
          <w:rFonts w:ascii="Times New Roman" w:eastAsia="Times New Roman" w:hAnsi="Times New Roman" w:cs="Times New Roman"/>
          <w:sz w:val="28"/>
          <w:szCs w:val="28"/>
          <w:lang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Самоплагіат </w:t>
      </w:r>
      <w:r w:rsidRPr="00475E34">
        <w:rPr>
          <w:rFonts w:ascii="Times New Roman" w:eastAsia="Times New Roman" w:hAnsi="Times New Roman" w:cs="Times New Roman"/>
          <w:sz w:val="28"/>
          <w:szCs w:val="28"/>
          <w:lang w:eastAsia="ru-RU"/>
        </w:rPr>
        <w:t>- оприлюднення (частково або повністю) власних раніше опублікованих наукових результатів як нових.</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Фабрикація </w:t>
      </w:r>
      <w:r w:rsidRPr="00475E34">
        <w:rPr>
          <w:rFonts w:ascii="Times New Roman" w:eastAsia="Times New Roman" w:hAnsi="Times New Roman" w:cs="Times New Roman"/>
          <w:sz w:val="28"/>
          <w:szCs w:val="28"/>
          <w:lang w:eastAsia="ru-RU"/>
        </w:rPr>
        <w:t>– вигадування даних чи фактів, що використовуються в освітньому процесі або наукових дослідженнях.</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Фальсифікація</w:t>
      </w:r>
      <w:r w:rsidRPr="00475E34">
        <w:rPr>
          <w:rFonts w:ascii="Times New Roman" w:eastAsia="Times New Roman" w:hAnsi="Times New Roman" w:cs="Times New Roman"/>
          <w:sz w:val="28"/>
          <w:szCs w:val="28"/>
          <w:lang w:eastAsia="ru-RU"/>
        </w:rPr>
        <w:t> – свідома зміна чи модифікація вже наявних даних, що стосуються освітнього процесу чи наукових досліджень.</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Списування </w:t>
      </w:r>
      <w:r w:rsidRPr="00475E34">
        <w:rPr>
          <w:rFonts w:ascii="Times New Roman" w:eastAsia="Times New Roman" w:hAnsi="Times New Roman" w:cs="Times New Roman"/>
          <w:sz w:val="28"/>
          <w:szCs w:val="28"/>
          <w:lang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Обман </w:t>
      </w:r>
      <w:r w:rsidRPr="00475E34">
        <w:rPr>
          <w:rFonts w:ascii="Times New Roman" w:eastAsia="Times New Roman" w:hAnsi="Times New Roman" w:cs="Times New Roman"/>
          <w:sz w:val="28"/>
          <w:szCs w:val="28"/>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lastRenderedPageBreak/>
        <w:t>Хабарництво </w:t>
      </w:r>
      <w:r w:rsidRPr="00475E34">
        <w:rPr>
          <w:rFonts w:ascii="Times New Roman" w:eastAsia="Times New Roman" w:hAnsi="Times New Roman" w:cs="Times New Roman"/>
          <w:sz w:val="28"/>
          <w:szCs w:val="28"/>
          <w:lang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Зловживання впливом</w:t>
      </w:r>
      <w:r w:rsidRPr="00475E34">
        <w:rPr>
          <w:rFonts w:ascii="Times New Roman" w:eastAsia="Times New Roman" w:hAnsi="Times New Roman" w:cs="Times New Roman"/>
          <w:sz w:val="28"/>
          <w:szCs w:val="28"/>
          <w:lang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475E34" w:rsidRPr="00475E34" w:rsidRDefault="00475E34" w:rsidP="00475E34">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Необ’єктивне оцінювання</w:t>
      </w:r>
      <w:r w:rsidRPr="00475E34">
        <w:rPr>
          <w:rFonts w:ascii="Times New Roman" w:eastAsia="Times New Roman" w:hAnsi="Times New Roman" w:cs="Times New Roman"/>
          <w:sz w:val="28"/>
          <w:szCs w:val="28"/>
          <w:lang w:eastAsia="ru-RU"/>
        </w:rPr>
        <w:t> – свідоме завищення або заниження оцінки результатів навчання здобувачів освіти.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2.3. Етика  та академічна  доброчесність забезпечуються:</w:t>
      </w:r>
    </w:p>
    <w:p w:rsidR="00475E34" w:rsidRPr="00475E34" w:rsidRDefault="00475E34" w:rsidP="00475E3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i/>
          <w:iCs/>
          <w:sz w:val="28"/>
          <w:szCs w:val="28"/>
          <w:bdr w:val="none" w:sz="0" w:space="0" w:color="auto" w:frame="1"/>
          <w:lang w:eastAsia="ru-RU"/>
        </w:rPr>
        <w:t> 2.3.1</w:t>
      </w:r>
      <w:r w:rsidRPr="00475E34">
        <w:rPr>
          <w:rFonts w:ascii="Times New Roman" w:eastAsia="Times New Roman" w:hAnsi="Times New Roman" w:cs="Times New Roman"/>
          <w:b/>
          <w:bCs/>
          <w:i/>
          <w:iCs/>
          <w:sz w:val="28"/>
          <w:szCs w:val="28"/>
          <w:bdr w:val="none" w:sz="0" w:space="0" w:color="auto" w:frame="1"/>
          <w:lang w:eastAsia="ru-RU"/>
        </w:rPr>
        <w:t>. учасниками освітнього процесу</w:t>
      </w:r>
      <w:r w:rsidRPr="00475E34">
        <w:rPr>
          <w:rFonts w:ascii="Times New Roman" w:eastAsia="Times New Roman" w:hAnsi="Times New Roman" w:cs="Times New Roman"/>
          <w:sz w:val="28"/>
          <w:szCs w:val="28"/>
          <w:lang w:eastAsia="ru-RU"/>
        </w:rPr>
        <w:t> шляхом</w:t>
      </w:r>
      <w:r w:rsidRPr="00475E34">
        <w:rPr>
          <w:rFonts w:ascii="Times New Roman" w:eastAsia="Times New Roman" w:hAnsi="Times New Roman" w:cs="Times New Roman"/>
          <w:i/>
          <w:iCs/>
          <w:sz w:val="28"/>
          <w:szCs w:val="28"/>
          <w:bdr w:val="none" w:sz="0" w:space="0" w:color="auto" w:frame="1"/>
          <w:lang w:eastAsia="ru-RU"/>
        </w:rPr>
        <w:t>:</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дотримання Конвенції ООН «Про права дитини», Конституції, законів України;</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утвердження позитивного іміджу школи, примноження її традицій;</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дотримання етичних норм спілкування на засадах партнерства, взаємоповаги, толерантності стосунків;</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запобігання корупції, хабарництву;</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збереження, поліпшення  та раціонального  використання навчально-матеріальної бази школи;</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дотримання  норм про авторські права;</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надання правдивої  інформації про результати власної навчальної (наукової, творчої) діяльності;</w:t>
      </w:r>
    </w:p>
    <w:p w:rsidR="00475E34" w:rsidRPr="00475E34" w:rsidRDefault="00475E34" w:rsidP="00475E34">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475E34" w:rsidRPr="00475E34" w:rsidRDefault="00475E34" w:rsidP="00475E3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i/>
          <w:iCs/>
          <w:sz w:val="28"/>
          <w:szCs w:val="28"/>
          <w:bdr w:val="none" w:sz="0" w:space="0" w:color="auto" w:frame="1"/>
          <w:lang w:eastAsia="ru-RU"/>
        </w:rPr>
        <w:t>2.3.2.</w:t>
      </w:r>
      <w:r w:rsidRPr="00475E34">
        <w:rPr>
          <w:rFonts w:ascii="Times New Roman" w:eastAsia="Times New Roman" w:hAnsi="Times New Roman" w:cs="Times New Roman"/>
          <w:b/>
          <w:bCs/>
          <w:i/>
          <w:iCs/>
          <w:sz w:val="28"/>
          <w:szCs w:val="28"/>
          <w:bdr w:val="none" w:sz="0" w:space="0" w:color="auto" w:frame="1"/>
          <w:lang w:eastAsia="ru-RU"/>
        </w:rPr>
        <w:t>здобувачами освіти</w:t>
      </w:r>
      <w:r w:rsidRPr="00475E34">
        <w:rPr>
          <w:rFonts w:ascii="Times New Roman" w:eastAsia="Times New Roman" w:hAnsi="Times New Roman" w:cs="Times New Roman"/>
          <w:i/>
          <w:iCs/>
          <w:sz w:val="28"/>
          <w:szCs w:val="28"/>
          <w:bdr w:val="none" w:sz="0" w:space="0" w:color="auto" w:frame="1"/>
          <w:lang w:eastAsia="ru-RU"/>
        </w:rPr>
        <w:t> </w:t>
      </w:r>
      <w:r w:rsidRPr="00475E34">
        <w:rPr>
          <w:rFonts w:ascii="Times New Roman" w:eastAsia="Times New Roman" w:hAnsi="Times New Roman" w:cs="Times New Roman"/>
          <w:sz w:val="28"/>
          <w:szCs w:val="28"/>
          <w:lang w:eastAsia="ru-RU"/>
        </w:rPr>
        <w:t>шляхом:</w:t>
      </w:r>
    </w:p>
    <w:p w:rsidR="00475E34" w:rsidRPr="00475E34" w:rsidRDefault="00475E34" w:rsidP="00475E34">
      <w:pPr>
        <w:numPr>
          <w:ilvl w:val="0"/>
          <w:numId w:val="3"/>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475E34" w:rsidRPr="00475E34" w:rsidRDefault="00475E34" w:rsidP="00475E34">
      <w:pPr>
        <w:numPr>
          <w:ilvl w:val="0"/>
          <w:numId w:val="3"/>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особистою присутністю на всіх заняттях, окрім випадків, викликаних поважними причинами.</w:t>
      </w:r>
    </w:p>
    <w:p w:rsidR="00475E34" w:rsidRPr="00475E34" w:rsidRDefault="00475E34" w:rsidP="00475E3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i/>
          <w:iCs/>
          <w:sz w:val="28"/>
          <w:szCs w:val="28"/>
          <w:bdr w:val="none" w:sz="0" w:space="0" w:color="auto" w:frame="1"/>
          <w:lang w:eastAsia="ru-RU"/>
        </w:rPr>
        <w:t>2.3.3</w:t>
      </w:r>
      <w:r w:rsidRPr="00475E34">
        <w:rPr>
          <w:rFonts w:ascii="Times New Roman" w:eastAsia="Times New Roman" w:hAnsi="Times New Roman" w:cs="Times New Roman"/>
          <w:sz w:val="28"/>
          <w:szCs w:val="28"/>
          <w:lang w:eastAsia="ru-RU"/>
        </w:rPr>
        <w:t>. </w:t>
      </w:r>
      <w:r w:rsidRPr="00475E34">
        <w:rPr>
          <w:rFonts w:ascii="Times New Roman" w:eastAsia="Times New Roman" w:hAnsi="Times New Roman" w:cs="Times New Roman"/>
          <w:b/>
          <w:bCs/>
          <w:i/>
          <w:iCs/>
          <w:sz w:val="28"/>
          <w:szCs w:val="28"/>
          <w:bdr w:val="none" w:sz="0" w:space="0" w:color="auto" w:frame="1"/>
          <w:lang w:eastAsia="ru-RU"/>
        </w:rPr>
        <w:t>педагогічними працівниками</w:t>
      </w:r>
      <w:r w:rsidRPr="00475E34">
        <w:rPr>
          <w:rFonts w:ascii="Times New Roman" w:eastAsia="Times New Roman" w:hAnsi="Times New Roman" w:cs="Times New Roman"/>
          <w:i/>
          <w:iCs/>
          <w:sz w:val="28"/>
          <w:szCs w:val="28"/>
          <w:bdr w:val="none" w:sz="0" w:space="0" w:color="auto" w:frame="1"/>
          <w:lang w:eastAsia="ru-RU"/>
        </w:rPr>
        <w:t> </w:t>
      </w:r>
      <w:r w:rsidRPr="00475E34">
        <w:rPr>
          <w:rFonts w:ascii="Times New Roman" w:eastAsia="Times New Roman" w:hAnsi="Times New Roman" w:cs="Times New Roman"/>
          <w:sz w:val="28"/>
          <w:szCs w:val="28"/>
          <w:lang w:eastAsia="ru-RU"/>
        </w:rPr>
        <w:t>шляхом:</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надання якісних освітніх послуг з використанням в практичній професійній  діяльності  інноваційних здобутків в галузі освіти;</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незалежності професійної діяльності  від політичних партій, громадських і релігійних організацій;</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підвищення професійного рівня шляхом саморозвитку і самовдосконалення, проходження вчасно  курсової підготовки;</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дотримання правил внутрішнього розпорядку, трудової дисципліни, корпоративної етики;</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об’єктивного і неупередженого оцінювання результатів навчання здобувачів  освіти;</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здійснення контролю за дотриманням академічної доброчесності здобувачами освіти;</w:t>
      </w:r>
    </w:p>
    <w:p w:rsidR="00475E34" w:rsidRPr="00475E34" w:rsidRDefault="00475E34" w:rsidP="00475E34">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інформування здобувачів освіти про типові порушення академічної доброчесності та види відповідальності за її порушення.</w:t>
      </w:r>
      <w:r w:rsidRPr="00475E34">
        <w:rPr>
          <w:rFonts w:ascii="Times New Roman" w:eastAsia="Times New Roman" w:hAnsi="Times New Roman" w:cs="Times New Roman"/>
          <w:b/>
          <w:bCs/>
          <w:sz w:val="28"/>
          <w:szCs w:val="28"/>
          <w:bdr w:val="none" w:sz="0" w:space="0" w:color="auto" w:frame="1"/>
          <w:lang w:eastAsia="ru-RU"/>
        </w:rPr>
        <w:t> </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ІІІ. Заходи з попередження, виявлення та встановлення фактів</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порушення етики та академічної доброчесності</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3.2. Положення доводиться до батьківської громади, оприлюднюється на сайті школи.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3.3.Адміністрація школи: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IV. Види відповідальності за порушення академічної доброчесності</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tblPr>
      <w:tblGrid>
        <w:gridCol w:w="1960"/>
        <w:gridCol w:w="1643"/>
        <w:gridCol w:w="2102"/>
        <w:gridCol w:w="2257"/>
        <w:gridCol w:w="2257"/>
      </w:tblGrid>
      <w:tr w:rsidR="00475E34" w:rsidRPr="00475E34" w:rsidTr="00475E34">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Порушення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Суб’єкти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порушення</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Обставини та умови  порушення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Наслідки  і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t>Орган / посадова особа, який приймає рішення про призначення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i/>
                <w:iCs/>
                <w:sz w:val="28"/>
                <w:szCs w:val="28"/>
                <w:bdr w:val="none" w:sz="0" w:space="0" w:color="auto" w:frame="1"/>
                <w:lang w:eastAsia="ru-RU"/>
              </w:rPr>
              <w:lastRenderedPageBreak/>
              <w:t>виду відповідальності</w:t>
            </w:r>
          </w:p>
        </w:tc>
      </w:tr>
      <w:tr w:rsidR="00475E34" w:rsidRPr="00475E34" w:rsidTr="00475E34">
        <w:tc>
          <w:tcPr>
            <w:tcW w:w="184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lastRenderedPageBreak/>
              <w:t>Списування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Здобувачі освіти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самостійні роботи;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контрольні роботи;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контрольні зрізи знань;</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річне оцінювання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(для  екстернів)</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моніторинги якості знань</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Повторне письмове проходження оцінювання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термін -1 тиждень</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або повторне проходження відповідного освітнього компонента освітньої програми</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Учителі-предметники</w:t>
            </w:r>
          </w:p>
        </w:tc>
      </w:tr>
      <w:tr w:rsidR="00475E34" w:rsidRPr="00475E34" w:rsidTr="00475E34">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-державна підсумкова атестація;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річне оцінювання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для  екстернів)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Повторне проходження оцінювання  за графіком проведення  ДПА у школі</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Не зарахування  результатів</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Атестаційна комісія державної підсумкової атестації</w:t>
            </w:r>
          </w:p>
        </w:tc>
      </w:tr>
      <w:tr w:rsidR="00475E34" w:rsidRPr="00475E34" w:rsidTr="00475E34">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-І етап( шкільний) Всеукраїнських  учнівських олімпіад, конкурсів;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Робота учасника анулюється, не оцінюється.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У разі повторних випадків списування учасник не допускається до участі в інших  олімпіадах, конкурсах</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Оргкомітет, журі</w:t>
            </w:r>
          </w:p>
        </w:tc>
      </w:tr>
      <w:tr w:rsidR="00475E34" w:rsidRPr="00475E34" w:rsidTr="00475E34">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Необ’єктивне</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оцінювання результатів навчання здобувачів</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Педагогічні працівники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Свідоме завищення або заниження оцінки результатів навчання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-усні відповіді;</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-домашні роботи;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-контрольні роботи;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-лабораторні та</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практичні роботи;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-ДПА;</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-тематичне оцінювання;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моніторинги;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-олімпіадні та конкурсні роботи</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встановленні </w:t>
            </w:r>
            <w:r w:rsidRPr="00475E34">
              <w:rPr>
                <w:rFonts w:ascii="Times New Roman" w:eastAsia="Times New Roman" w:hAnsi="Times New Roman" w:cs="Times New Roman"/>
                <w:sz w:val="28"/>
                <w:szCs w:val="28"/>
                <w:lang w:eastAsia="ru-RU"/>
              </w:rPr>
              <w:lastRenderedPageBreak/>
              <w:t>кваліфікаційної категорії , присвоєнні педагогічних  звань</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Адміністрація школи, атестаційні  комісії усіх рівнів</w:t>
            </w:r>
          </w:p>
        </w:tc>
      </w:tr>
      <w:tr w:rsidR="00475E34" w:rsidRPr="00475E34" w:rsidTr="00475E34">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lastRenderedPageBreak/>
              <w:t>Обман:</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Фальсифікація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Педагогічні працівники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як автори</w:t>
            </w:r>
          </w:p>
        </w:tc>
        <w:tc>
          <w:tcPr>
            <w:tcW w:w="213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Навчально-методичні освітні продукти, створені педагогічними працівниками: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-методичні рекомендації;</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-навчальний посібник;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-навчально-методичний посібник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-наочний посібник;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-практичний посібник;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-навчальний наочний посібник;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-збірка;</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-методична збірка</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-методичний вісник;</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-стаття;</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У випадку встановлення порушень такого порядку:</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є підставою для відмови в присвоєнні або позбавлені раніше присвоєного педагогічного звання, кваліфікаційної категорії</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 xml:space="preserve">Б) в разі встановлення в атестаційний </w:t>
            </w:r>
            <w:r w:rsidRPr="00475E34">
              <w:rPr>
                <w:rFonts w:ascii="Times New Roman" w:eastAsia="Times New Roman" w:hAnsi="Times New Roman" w:cs="Times New Roman"/>
                <w:sz w:val="28"/>
                <w:szCs w:val="28"/>
                <w:lang w:eastAsia="ru-RU"/>
              </w:rPr>
              <w:lastRenderedPageBreak/>
              <w:t>період  фактів списування здобувачами під час контрольних зрізів знань, фальсифікації результатів власної педагогічної діяльності</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позбавлення педагогічного працівника І,ІІ кваліфікаційної категорії</w:t>
            </w:r>
          </w:p>
        </w:tc>
        <w:tc>
          <w:tcPr>
            <w:tcW w:w="208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Педагогічна та методичні  ради</w:t>
            </w:r>
          </w:p>
          <w:p w:rsidR="00475E34" w:rsidRPr="00475E34" w:rsidRDefault="00475E34" w:rsidP="00475E34">
            <w:pPr>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школи, атестаційні комісії школи</w:t>
            </w:r>
          </w:p>
        </w:tc>
      </w:tr>
      <w:tr w:rsidR="00475E34" w:rsidRPr="00475E34" w:rsidTr="00475E34">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r>
      <w:tr w:rsidR="00475E34" w:rsidRPr="00475E34" w:rsidTr="00475E34">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475E34" w:rsidRPr="00475E34" w:rsidRDefault="00475E34" w:rsidP="00475E34">
            <w:pPr>
              <w:spacing w:after="0" w:line="240" w:lineRule="auto"/>
              <w:rPr>
                <w:rFonts w:ascii="Times New Roman" w:eastAsia="Times New Roman" w:hAnsi="Times New Roman" w:cs="Times New Roman"/>
                <w:sz w:val="28"/>
                <w:szCs w:val="28"/>
                <w:lang w:eastAsia="ru-RU"/>
              </w:rPr>
            </w:pPr>
          </w:p>
        </w:tc>
      </w:tr>
    </w:tbl>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lastRenderedPageBreak/>
        <w:br/>
        <w:t>V. Комісія з питань академічної доброчесності та етики педагогічних працівників</w:t>
      </w:r>
    </w:p>
    <w:p w:rsidR="00475E34" w:rsidRPr="00475E34" w:rsidRDefault="00475E34" w:rsidP="00475E3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5.1. Комісія</w:t>
      </w:r>
      <w:r w:rsidRPr="00475E34">
        <w:rPr>
          <w:rFonts w:ascii="Times New Roman" w:eastAsia="Times New Roman" w:hAnsi="Times New Roman" w:cs="Times New Roman"/>
          <w:b/>
          <w:bCs/>
          <w:sz w:val="28"/>
          <w:szCs w:val="28"/>
          <w:bdr w:val="none" w:sz="0" w:space="0" w:color="auto" w:frame="1"/>
          <w:lang w:eastAsia="ru-RU"/>
        </w:rPr>
        <w:t> </w:t>
      </w:r>
      <w:r w:rsidRPr="00475E34">
        <w:rPr>
          <w:rFonts w:ascii="Times New Roman" w:eastAsia="Times New Roman" w:hAnsi="Times New Roman" w:cs="Times New Roman"/>
          <w:sz w:val="28"/>
          <w:szCs w:val="28"/>
          <w:lang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 До складу Комісії входять представники педагогічного колективу, батьківської громади ( за згодою).</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5.2.1. Персональний склад  Комісії затверджується рішенням педагогічної ради.</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5.2.2. Голова, заступник голови та секретар Комісії обираються з числа осіб, що входять до неї.</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5.2.3. Голова веде засідання, підписує протоколи та рішення тощо.</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5.2.4. За відсутності голови Комісії його обов’язки виконує заступник.</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5.2.6. Термін повноважень Комісії – 1 рік.</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5.4. Комісія має такі повноваження:</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Виявляти та встановлювати факти порушення академічної доброчесності учасників освітнього процесу школи.</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lastRenderedPageBreak/>
        <w:t>Проводити інформаційну роботу щодо популяризації принципів академічної доброчесності серед учасників освітнього процесу.</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475E34" w:rsidRPr="00475E34" w:rsidRDefault="00475E34" w:rsidP="00475E34">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Доводити результати розгляду заяв щодо порушення академічної доброчесності до відома директора школи для подальшого реагування.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5.6. Комісія звітує про свою роботу двічі на рік.</w:t>
      </w:r>
    </w:p>
    <w:p w:rsidR="00475E34" w:rsidRPr="00475E34" w:rsidRDefault="00475E34" w:rsidP="00475E3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b/>
          <w:bCs/>
          <w:sz w:val="28"/>
          <w:szCs w:val="28"/>
          <w:bdr w:val="none" w:sz="0" w:space="0" w:color="auto" w:frame="1"/>
          <w:lang w:eastAsia="ru-RU"/>
        </w:rPr>
        <w:t>VI. Прикінцеві положення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6.1. Положення ухвалюється педагогічною радою школи більшістю голосів і набирає чинності з моменту схвалення.</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475E34" w:rsidRPr="00475E34" w:rsidRDefault="00475E34" w:rsidP="00475E34">
      <w:pPr>
        <w:shd w:val="clear" w:color="auto" w:fill="FFFFFF"/>
        <w:spacing w:after="300" w:line="240" w:lineRule="auto"/>
        <w:textAlignment w:val="baseline"/>
        <w:rPr>
          <w:rFonts w:ascii="Times New Roman" w:eastAsia="Times New Roman" w:hAnsi="Times New Roman" w:cs="Times New Roman"/>
          <w:sz w:val="28"/>
          <w:szCs w:val="28"/>
          <w:lang w:eastAsia="ru-RU"/>
        </w:rPr>
      </w:pPr>
      <w:r w:rsidRPr="00475E34">
        <w:rPr>
          <w:rFonts w:ascii="Times New Roman" w:eastAsia="Times New Roman" w:hAnsi="Times New Roman" w:cs="Times New Roman"/>
          <w:sz w:val="28"/>
          <w:szCs w:val="28"/>
          <w:lang w:eastAsia="ru-RU"/>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800C82" w:rsidRPr="00475E34" w:rsidRDefault="00800C82">
      <w:pPr>
        <w:rPr>
          <w:rFonts w:ascii="Times New Roman" w:hAnsi="Times New Roman" w:cs="Times New Roman"/>
          <w:sz w:val="28"/>
          <w:szCs w:val="28"/>
        </w:rPr>
      </w:pPr>
    </w:p>
    <w:sectPr w:rsidR="00800C82" w:rsidRPr="00475E34" w:rsidSect="00475E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0F9"/>
    <w:multiLevelType w:val="multilevel"/>
    <w:tmpl w:val="141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84DF2"/>
    <w:multiLevelType w:val="multilevel"/>
    <w:tmpl w:val="0A2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760E16"/>
    <w:multiLevelType w:val="multilevel"/>
    <w:tmpl w:val="10C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AB5296"/>
    <w:multiLevelType w:val="multilevel"/>
    <w:tmpl w:val="14D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483B86"/>
    <w:multiLevelType w:val="multilevel"/>
    <w:tmpl w:val="949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75E34"/>
    <w:rsid w:val="00024F5B"/>
    <w:rsid w:val="00043C18"/>
    <w:rsid w:val="000F6B96"/>
    <w:rsid w:val="00102CAD"/>
    <w:rsid w:val="001B2DDE"/>
    <w:rsid w:val="00362510"/>
    <w:rsid w:val="00475E34"/>
    <w:rsid w:val="007C75E6"/>
    <w:rsid w:val="00800C82"/>
    <w:rsid w:val="00827D27"/>
    <w:rsid w:val="009003BE"/>
    <w:rsid w:val="00BB4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5E34"/>
    <w:rPr>
      <w:b/>
      <w:bCs/>
    </w:rPr>
  </w:style>
  <w:style w:type="paragraph" w:styleId="a4">
    <w:name w:val="Normal (Web)"/>
    <w:basedOn w:val="a"/>
    <w:uiPriority w:val="99"/>
    <w:unhideWhenUsed/>
    <w:rsid w:val="00475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9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11012</Characters>
  <Application>Microsoft Office Word</Application>
  <DocSecurity>0</DocSecurity>
  <Lines>91</Lines>
  <Paragraphs>25</Paragraphs>
  <ScaleCrop>false</ScaleCrop>
  <Company>MICROSOFT</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2021-11-10T10:09:00Z</dcterms:created>
  <dcterms:modified xsi:type="dcterms:W3CDTF">2021-11-10T10:09:00Z</dcterms:modified>
</cp:coreProperties>
</file>