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FA" w:rsidRDefault="00553CFA" w:rsidP="00553CFA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Філіія Великорожинська гімназія</w:t>
      </w:r>
    </w:p>
    <w:p w:rsidR="00553CFA" w:rsidRDefault="00553CFA" w:rsidP="00553CFA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Кутського ліцею Кутської селищної ради</w:t>
      </w:r>
    </w:p>
    <w:p w:rsidR="00553CFA" w:rsidRDefault="00553CFA" w:rsidP="00553CFA">
      <w:pPr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КОСІВСЬКОго району ІВАНО-ФРАНКІВСЬКОЇ ОБЛАСТІ</w:t>
      </w:r>
    </w:p>
    <w:p w:rsidR="00553CFA" w:rsidRDefault="00553CFA" w:rsidP="00553CF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86995</wp:posOffset>
                </wp:positionV>
                <wp:extent cx="6050280" cy="635"/>
                <wp:effectExtent l="0" t="19050" r="45720" b="565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0280" cy="635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1C948" id="Прямая соединительная линия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.7pt,6.85pt" to="479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" strokeweight="1.59mm">
                <o:lock v:ext="edit" shapetype="f"/>
              </v:line>
            </w:pict>
          </mc:Fallback>
        </mc:AlternateContent>
      </w:r>
    </w:p>
    <w:p w:rsidR="00553CFA" w:rsidRDefault="00553CFA" w:rsidP="00553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553CFA" w:rsidRDefault="00553CFA" w:rsidP="00553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553CFA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>.01.2025</w:t>
      </w:r>
      <w:r>
        <w:rPr>
          <w:rFonts w:ascii="Times New Roman" w:hAnsi="Times New Roman" w:cs="Times New Roman"/>
          <w:sz w:val="28"/>
          <w:szCs w:val="28"/>
        </w:rPr>
        <w:t xml:space="preserve"> р.                                с. Великий Рожин                                   №   </w:t>
      </w:r>
    </w:p>
    <w:p w:rsidR="00553CFA" w:rsidRDefault="00553CFA" w:rsidP="00553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затвердження складу комісії                                                                              з розгляду випадку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(цькування)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CFA" w:rsidRDefault="00553CFA" w:rsidP="00553C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виконання ст. 53,54,55 Закону України «Про освіту», керуючись листом Міністерства освіти і науки України від 29.01.2019 No1/11-881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(цькуванню)» від 18 грудня 2018 р. No2657-VIII» та у зв’язку з застосуванням змін в законодавстві /Порядок реагування на випадки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(цькування), затвердженого наказом Міністерства освіти і науки України від 28.12.2019 та зареєстрованого в Міністерстві юстиції України 03.02.2020 за No111/34394/ направлених на удосконалення відносин у сфері 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(цькуванню), Конвенції ООН про права дитини, Законів України «Про повну загальну середню освіту», «Про освіту», «Про охорону дитинства», «Про внесення змін до деяких законодавчих актів України щодо 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(цькуванню)», Концепції Нова українська школа, наказу Міністерства освіти і науки України від 28.12.2019 №1646 «Деякі питання реагування на випадки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 та застосування заходів виховного впливу в закладах освіти. Порядку реагування на випадки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(цькування)», зареєстрованого у Міністерстві юстиції України 03 лютого 2020 р. за №111/34394, наказу МОН від 22.05.2018 №509 «Про затвердження Положення про психологічну службу у системі освіти України», наказу МОН від 26.02.2020 №293 «Про затвердження плану заходів, спрямованих на запобігання та протидію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(цькуванню) в закладах освіти», наказу МОНУ від 20.03.2020 №420 «Про внесення змін до наказу Міністерства освіти і науки України від 26 лютого 2020 року №293», з метою забезпечення конституційних прав учнів, запобігання проявів  жорстокого ставлення до дітей, приниження їх честі і гідності, виявлення та 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серед учасників освітнього процесу, швидкого реагування на такі випадки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1.Створити комісію з розгляду випадків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серед учасників освітнього процесу у такому складі: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Столащук</w:t>
      </w:r>
      <w:proofErr w:type="spellEnd"/>
      <w:r>
        <w:rPr>
          <w:sz w:val="28"/>
          <w:szCs w:val="28"/>
        </w:rPr>
        <w:t xml:space="preserve"> Л.Ю. – в. о. завідувача філії  -  голова комісії;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Русинюк</w:t>
      </w:r>
      <w:proofErr w:type="spellEnd"/>
      <w:r>
        <w:rPr>
          <w:sz w:val="28"/>
          <w:szCs w:val="28"/>
        </w:rPr>
        <w:t xml:space="preserve"> М.Д. – практичний психолог – член комісії;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Павлюк Г.М. -  голова ШМО класних керівників - член комісії;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Воротняк</w:t>
      </w:r>
      <w:proofErr w:type="spellEnd"/>
      <w:r>
        <w:rPr>
          <w:sz w:val="28"/>
          <w:szCs w:val="28"/>
        </w:rPr>
        <w:t xml:space="preserve"> В.М. -  голова батьківського комітету - член комісії (за згодою).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  План заходів щодо запобігання та протидії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  на 2024/2025 навчальний рік як заходи річного плану, розділ «Створення освітнього середовища, вільного від будь-яких форм насильства та дискримінації».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Комісії: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Впроваджувати </w:t>
      </w:r>
      <w:proofErr w:type="spellStart"/>
      <w:r>
        <w:rPr>
          <w:sz w:val="28"/>
          <w:szCs w:val="28"/>
        </w:rPr>
        <w:t>антибулінгову</w:t>
      </w:r>
      <w:proofErr w:type="spellEnd"/>
      <w:r>
        <w:rPr>
          <w:sz w:val="28"/>
          <w:szCs w:val="28"/>
        </w:rPr>
        <w:t xml:space="preserve"> політику, проводити профілактику проявів негативної поведінки учнів, запобіганню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кібербулінгу</w:t>
      </w:r>
      <w:proofErr w:type="spellEnd"/>
      <w:r>
        <w:rPr>
          <w:sz w:val="28"/>
          <w:szCs w:val="28"/>
        </w:rPr>
        <w:t>, цькуванню, віртуального насилля.</w:t>
      </w:r>
    </w:p>
    <w:p w:rsidR="00553CFA" w:rsidRDefault="00553CFA" w:rsidP="00553CFA">
      <w:pPr>
        <w:pStyle w:val="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  Відповідно потреб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Проводити розширені засідання комісії, залучаючи до участі у засіданнях батьків, чиї діти причетні до випадків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з метою подолання проявів негативної поведінки, цькування тощо.</w:t>
      </w:r>
    </w:p>
    <w:p w:rsidR="00553CFA" w:rsidRDefault="00553CFA" w:rsidP="00553CFA">
      <w:pPr>
        <w:pStyle w:val="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 За потреби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Продовжувати взаємодію з ювенальною поліцією, службою у справах дітей, центрами соціальних служб, </w:t>
      </w:r>
      <w:proofErr w:type="spellStart"/>
      <w:r>
        <w:rPr>
          <w:sz w:val="28"/>
          <w:szCs w:val="28"/>
        </w:rPr>
        <w:t>кіберполіцією</w:t>
      </w:r>
      <w:proofErr w:type="spellEnd"/>
      <w:r>
        <w:rPr>
          <w:sz w:val="28"/>
          <w:szCs w:val="28"/>
        </w:rPr>
        <w:t xml:space="preserve"> з метою проведення </w:t>
      </w:r>
      <w:proofErr w:type="spellStart"/>
      <w:r>
        <w:rPr>
          <w:sz w:val="28"/>
          <w:szCs w:val="28"/>
        </w:rPr>
        <w:t>антибулінгової</w:t>
      </w:r>
      <w:proofErr w:type="spellEnd"/>
      <w:r>
        <w:rPr>
          <w:sz w:val="28"/>
          <w:szCs w:val="28"/>
        </w:rPr>
        <w:t xml:space="preserve"> політики, спільних профілактичних заходів.</w:t>
      </w:r>
    </w:p>
    <w:p w:rsidR="00553CFA" w:rsidRDefault="00553CFA" w:rsidP="00553CFA">
      <w:pPr>
        <w:pStyle w:val="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 Постійно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Інформувати керівника закладу про будь-які випадки фізичного,  психологічного, домашнього насильства, дискримінації, жорстокого поводження з дітьми,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кібербулінгу</w:t>
      </w:r>
      <w:proofErr w:type="spellEnd"/>
      <w:r>
        <w:rPr>
          <w:sz w:val="28"/>
          <w:szCs w:val="28"/>
        </w:rPr>
        <w:t>, цькуванню, віртуального насилля чи неправомірного поводження працівників по відношенню до учнів.</w:t>
      </w:r>
    </w:p>
    <w:p w:rsidR="00553CFA" w:rsidRDefault="00553CFA" w:rsidP="00553CFA">
      <w:pPr>
        <w:pStyle w:val="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                        Терміново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Класним керівникам, педагогічним працівникам: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Проводити інформаційну роз’яснювальну роботу з учнями та батьками щодо їх відповідальності за дії, які прирівнюються до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.</w:t>
      </w:r>
    </w:p>
    <w:p w:rsidR="00553CFA" w:rsidRDefault="00553CFA" w:rsidP="00553CFA">
      <w:pPr>
        <w:pStyle w:val="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 Постійно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Забезпечити виконання Плану заходів щодо створення освітнього середовища, вільного від будь-яких форм насильства та дискримінації, запобігання та </w:t>
      </w:r>
      <w:r>
        <w:rPr>
          <w:sz w:val="28"/>
          <w:szCs w:val="28"/>
        </w:rPr>
        <w:t xml:space="preserve">протидії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  у 2025 р</w:t>
      </w:r>
      <w:r>
        <w:rPr>
          <w:sz w:val="28"/>
          <w:szCs w:val="28"/>
        </w:rPr>
        <w:t>.</w:t>
      </w:r>
    </w:p>
    <w:p w:rsidR="00553CFA" w:rsidRDefault="00553CFA" w:rsidP="00553CFA">
      <w:pPr>
        <w:pStyle w:val="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                    До 10.06.2025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 Не допускати випадків фізичного, психологічного насильства,   дискримінації, жорстокого поводження з дітьми.</w:t>
      </w:r>
    </w:p>
    <w:p w:rsidR="00553CFA" w:rsidRDefault="00553CFA" w:rsidP="00553CFA">
      <w:pPr>
        <w:pStyle w:val="righ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 Постійно </w:t>
      </w:r>
    </w:p>
    <w:p w:rsidR="00553CFA" w:rsidRDefault="00553CFA" w:rsidP="00553CFA">
      <w:pPr>
        <w:pStyle w:val="justifie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наказу залишаю за собою.</w:t>
      </w:r>
    </w:p>
    <w:p w:rsidR="00553CFA" w:rsidRDefault="00553CFA" w:rsidP="0055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3CFA" w:rsidRDefault="00553CFA" w:rsidP="0055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53CFA" w:rsidRDefault="00553CFA" w:rsidP="00553CF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В.о. зав. філії                    Л. </w:t>
      </w:r>
      <w:proofErr w:type="spellStart"/>
      <w:r>
        <w:rPr>
          <w:b/>
          <w:sz w:val="28"/>
          <w:szCs w:val="28"/>
        </w:rPr>
        <w:t>Столащук</w:t>
      </w:r>
      <w:proofErr w:type="spellEnd"/>
    </w:p>
    <w:p w:rsidR="00553CFA" w:rsidRDefault="00553CFA" w:rsidP="00553CF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53CFA" w:rsidRDefault="00553CFA" w:rsidP="0055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 наказом ознайомлені:</w:t>
      </w:r>
    </w:p>
    <w:p w:rsidR="00553CFA" w:rsidRDefault="00553CFA" w:rsidP="0055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3CFA" w:rsidRDefault="00553CFA" w:rsidP="0055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 Г.М. Павлюк</w:t>
      </w:r>
    </w:p>
    <w:p w:rsidR="00553CFA" w:rsidRDefault="00553CFA" w:rsidP="0055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3CFA" w:rsidRDefault="00553CFA" w:rsidP="0055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  М.Д. </w:t>
      </w:r>
      <w:proofErr w:type="spellStart"/>
      <w:r>
        <w:rPr>
          <w:sz w:val="28"/>
          <w:szCs w:val="28"/>
        </w:rPr>
        <w:t>Русинюк</w:t>
      </w:r>
      <w:proofErr w:type="spellEnd"/>
    </w:p>
    <w:p w:rsidR="00553CFA" w:rsidRDefault="00553CFA" w:rsidP="0055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3CFA" w:rsidRDefault="00553CFA" w:rsidP="00553CF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  В.М. </w:t>
      </w:r>
      <w:proofErr w:type="spellStart"/>
      <w:r>
        <w:rPr>
          <w:sz w:val="28"/>
          <w:szCs w:val="28"/>
        </w:rPr>
        <w:t>Воротняк</w:t>
      </w:r>
      <w:proofErr w:type="spellEnd"/>
    </w:p>
    <w:p w:rsidR="0013636D" w:rsidRPr="00553CFA" w:rsidRDefault="0013636D">
      <w:pPr>
        <w:rPr>
          <w:rFonts w:ascii="Times New Roman" w:hAnsi="Times New Roman" w:cs="Times New Roman"/>
          <w:sz w:val="28"/>
          <w:szCs w:val="28"/>
        </w:rPr>
      </w:pPr>
    </w:p>
    <w:sectPr w:rsidR="0013636D" w:rsidRPr="00553C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FA"/>
    <w:rsid w:val="0013636D"/>
    <w:rsid w:val="0055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8701"/>
  <w15:chartTrackingRefBased/>
  <w15:docId w15:val="{F5D311F8-FB7C-410C-AD2B-9D070235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53CFA"/>
    <w:pPr>
      <w:spacing w:after="0" w:line="240" w:lineRule="auto"/>
    </w:pPr>
  </w:style>
  <w:style w:type="paragraph" w:customStyle="1" w:styleId="justified">
    <w:name w:val="justified"/>
    <w:basedOn w:val="a"/>
    <w:uiPriority w:val="99"/>
    <w:semiHidden/>
    <w:rsid w:val="0055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ight">
    <w:name w:val="right"/>
    <w:basedOn w:val="a"/>
    <w:uiPriority w:val="99"/>
    <w:semiHidden/>
    <w:rsid w:val="0055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5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3303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Acer_GO</dc:creator>
  <cp:keywords/>
  <dc:description/>
  <cp:lastModifiedBy>Acer_GO</cp:lastModifiedBy>
  <cp:revision>2</cp:revision>
  <cp:lastPrinted>2025-01-23T13:05:00Z</cp:lastPrinted>
  <dcterms:created xsi:type="dcterms:W3CDTF">2025-01-23T13:02:00Z</dcterms:created>
  <dcterms:modified xsi:type="dcterms:W3CDTF">2025-01-23T13:07:00Z</dcterms:modified>
</cp:coreProperties>
</file>