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36" w:rsidRDefault="00CE6C59" w:rsidP="00CE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РЕАГУВАННЯ НА ДОВЕДЕНІ ВИПАДКИ БУЛІНГУ (ЦЬКУВАННЯ) ТА ВІДПОВІДАЛЬНІСТЬ ОСІБ, ПРИЧЕТНИХ ДО БУЛІНГУ</w:t>
      </w:r>
    </w:p>
    <w:p w:rsidR="00CE6C59" w:rsidRDefault="00CE6C59" w:rsidP="00CE6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59" w:rsidRDefault="00CE6C59" w:rsidP="00CE6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закладу має розглянути звернення у встановленому порядку.</w:t>
      </w:r>
    </w:p>
    <w:p w:rsidR="00CE6C59" w:rsidRDefault="00CE6C59" w:rsidP="00CE6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закладу створює комісію з розгляду випадків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яка з</w:t>
      </w:r>
      <w:r w:rsidRPr="00CE6C5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ясовує обставини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6C59" w:rsidRDefault="00CE6C59" w:rsidP="00CE6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комісія визнала, що це був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одноразовий конфлікт, то директор повідомляє уповноважені підрозділи органів Національної поліції України та Службу у правах дітей.</w:t>
      </w:r>
    </w:p>
    <w:p w:rsidR="00CE6C59" w:rsidRPr="00CE6C59" w:rsidRDefault="00CE6C59" w:rsidP="00CE6C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Особи, які за результатами розслідування є причетними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несуть відповідальність відповідно до  частини другої статті 13 (вчинення правопорушень за статтею 1734) Кодексу України </w:t>
      </w:r>
      <w:r w:rsidR="00C0580B">
        <w:rPr>
          <w:rFonts w:ascii="Times New Roman" w:hAnsi="Times New Roman" w:cs="Times New Roman"/>
          <w:sz w:val="28"/>
          <w:szCs w:val="28"/>
        </w:rPr>
        <w:t>про адміністративні правопорушення.</w:t>
      </w:r>
      <w:bookmarkStart w:id="0" w:name="_GoBack"/>
      <w:bookmarkEnd w:id="0"/>
    </w:p>
    <w:sectPr w:rsidR="00CE6C59" w:rsidRPr="00CE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79AC"/>
    <w:multiLevelType w:val="hybridMultilevel"/>
    <w:tmpl w:val="A7D63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36"/>
    <w:rsid w:val="00652536"/>
    <w:rsid w:val="00692457"/>
    <w:rsid w:val="00C0580B"/>
    <w:rsid w:val="00C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C446"/>
  <w15:chartTrackingRefBased/>
  <w15:docId w15:val="{3CB4CDAE-871A-421E-A9F9-FA608B76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2021-03-28T10:45:00Z</dcterms:created>
  <dcterms:modified xsi:type="dcterms:W3CDTF">2021-03-28T10:36:00Z</dcterms:modified>
</cp:coreProperties>
</file>