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1970" w:rsidRDefault="00A916AB">
      <w:pPr>
        <w:pStyle w:val="a0"/>
        <w:shd w:val="clear" w:color="auto" w:fill="FFFFFF"/>
        <w:spacing w:after="0" w:line="240" w:lineRule="auto"/>
      </w:pPr>
      <w:r>
        <w:fldChar w:fldCharType="begin"/>
      </w:r>
      <w:r>
        <w:instrText xml:space="preserve"> HYPERLINK  "https://mon.gov.ua/ua/osvita/zagalna-serednya-osvita/metodichni-rekomendaciyi" </w:instrText>
      </w:r>
      <w:r>
        <w:fldChar w:fldCharType="separate"/>
      </w:r>
      <w:r>
        <w:rPr>
          <w:rStyle w:val="a4"/>
          <w:rFonts w:ascii="Times New Roman" w:hAnsi="Times New Roman"/>
          <w:b/>
          <w:color w:val="000000"/>
          <w:sz w:val="24"/>
          <w:szCs w:val="24"/>
          <w:u w:val="single"/>
        </w:rPr>
        <w:t xml:space="preserve">Інструктивно-методичні рекомендації щодо організації освітнього процесу і викладання </w:t>
      </w:r>
      <w:r>
        <w:rPr>
          <w:rStyle w:val="a4"/>
          <w:rFonts w:ascii="Times New Roman" w:hAnsi="Times New Roman"/>
          <w:b/>
          <w:color w:val="000000"/>
          <w:sz w:val="24"/>
          <w:szCs w:val="24"/>
          <w:u w:val="single"/>
        </w:rPr>
        <w:t>навчальних предметів у закладах загальної середньої освіти у 2022/2023 навчальному році.</w:t>
      </w:r>
      <w:r>
        <w:rPr>
          <w:rStyle w:val="a4"/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>
        <w:rPr>
          <w:rStyle w:val="a4"/>
          <w:rFonts w:ascii="Times New Roman" w:hAnsi="Times New Roman"/>
          <w:b/>
          <w:color w:val="000000"/>
          <w:sz w:val="24"/>
          <w:szCs w:val="24"/>
        </w:rPr>
        <w:t> </w:t>
      </w:r>
    </w:p>
    <w:p w:rsidR="00811970" w:rsidRDefault="00811970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Нормативна база, що регламентує процедуру оцінювання результатів навчання здобувачів освіти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Оцінювання результатів навчання учнів у закладах загальної середньої осв</w:t>
      </w:r>
      <w:r>
        <w:rPr>
          <w:rFonts w:ascii="Times New Roman" w:hAnsi="Times New Roman"/>
          <w:color w:val="000000"/>
          <w:sz w:val="24"/>
          <w:szCs w:val="24"/>
        </w:rPr>
        <w:t>іти врегульовано такими нормативними документами: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ст. 17 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Закону України «Про повну загальну середню освіту»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8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Порядок переведення учнів (вихованців) закладу загальної середньої освіти до наступного класу (зі змінами)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9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Методичні рекомендації щодо оцінювання результатів навчання учнів 1-4 класів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10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М</w:t>
        </w:r>
      </w:hyperlink>
      <w:hyperlink r:id="rId11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етодичні рекомендації щодо оцінювання навчальних досягнень учнів 5-6 класів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i/>
          <w:iCs/>
          <w:color w:val="000000"/>
          <w:sz w:val="24"/>
          <w:szCs w:val="24"/>
        </w:rPr>
        <w:t>(для 5 класів НУШ)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12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Критерії оцінювання навчальних досягнень учнів (вихованців) у системі загальної середньої освіти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i/>
          <w:iCs/>
          <w:color w:val="000000"/>
          <w:sz w:val="24"/>
          <w:szCs w:val="24"/>
        </w:rPr>
        <w:t>(для 6–11 класів)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13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Орієнтовні</w:t>
        </w:r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 xml:space="preserve"> вимоги оцінювання навчальних досягнень учнів із базових дисциплін у системі загальної середньої освіти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 (</w:t>
      </w:r>
      <w:r>
        <w:rPr>
          <w:rStyle w:val="a4"/>
          <w:rFonts w:ascii="Times New Roman" w:hAnsi="Times New Roman"/>
          <w:i/>
          <w:iCs/>
          <w:color w:val="000000"/>
          <w:sz w:val="24"/>
          <w:szCs w:val="24"/>
        </w:rPr>
        <w:t>для 6 – 11 класів)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1"/>
        </w:numPr>
        <w:shd w:val="clear" w:color="auto" w:fill="FFFFFF"/>
        <w:spacing w:after="0" w:line="240" w:lineRule="auto"/>
      </w:pPr>
      <w:hyperlink r:id="rId14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Інструкція з ведення класного журналу 5-11(12)-х класів загальноос</w:t>
        </w:r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вітніх навчальних закладів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:rsidR="00811970" w:rsidRDefault="00811970">
      <w:pPr>
        <w:pStyle w:val="a0"/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Загальні засади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забезпечення цілісності освітнього процесу та налагодження ефективної системи оцінювання, яка налаштуватиме школярів на плідну роботу, важливо: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добирати зміст, форму та методи роботи для кожного уроку з </w:t>
      </w:r>
      <w:r>
        <w:rPr>
          <w:rFonts w:ascii="Times New Roman" w:hAnsi="Times New Roman"/>
          <w:color w:val="000000"/>
          <w:sz w:val="24"/>
          <w:szCs w:val="24"/>
        </w:rPr>
        <w:t>урахуванням результатів оцінювання навчальних досягнень школярів;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формувати в учнів уміння аналізувати власну роботу, власні результати навчання, визначати для себе подальші завдання;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кожний урок включати роботу з учнями за результатами оцінювання, самоо</w:t>
      </w:r>
      <w:r>
        <w:rPr>
          <w:rFonts w:ascii="Times New Roman" w:hAnsi="Times New Roman"/>
          <w:color w:val="000000"/>
          <w:sz w:val="24"/>
          <w:szCs w:val="24"/>
        </w:rPr>
        <w:t>цінювання та взаємооцінювання;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враховувати дотримання ними принципів доброчесності, а саме: вияв поваги до інших осіб, їхніх прав і свобод, дотримання принципів академічної доброчесності. У разі їх порушення, педагог має право не оцінювати результат такої </w:t>
      </w:r>
      <w:r>
        <w:rPr>
          <w:rFonts w:ascii="Times New Roman" w:hAnsi="Times New Roman"/>
          <w:color w:val="000000"/>
          <w:sz w:val="24"/>
          <w:szCs w:val="24"/>
        </w:rPr>
        <w:t>навчальної діяльності;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повідомляти оцінку результатів навчання лише учню та його законним представникам, адже ця інформація є конфіденційною;  </w:t>
      </w:r>
    </w:p>
    <w:p w:rsidR="00811970" w:rsidRDefault="00A916AB">
      <w:pPr>
        <w:pStyle w:val="a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використовувати самостійно визначені або розроблені способи фіксації зворотного зв’язку з учнями. </w:t>
      </w:r>
    </w:p>
    <w:p w:rsidR="00811970" w:rsidRDefault="00811970">
      <w:pPr>
        <w:pStyle w:val="a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Діагностуван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ня рівня опанування навчального матеріалу здобувачами освіти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Аби на початку року з’ясувати готовність школярів до засвоєння нового матеріалу та визначити оптимальні умови для планування освітнього процесу, в перші тижні навчання слід виявити наявний рівень</w:t>
      </w:r>
      <w:r>
        <w:rPr>
          <w:rFonts w:ascii="Times New Roman" w:hAnsi="Times New Roman"/>
          <w:color w:val="000000"/>
          <w:sz w:val="24"/>
          <w:szCs w:val="24"/>
        </w:rPr>
        <w:t xml:space="preserve"> їхніх знань. З цією метою у календарно-тематичному плануванні потрібно визначити час для проведення діагностування результатів навчання за попередній рік й відповідну кількість навчального часу для повторення.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Спосіб діагностування залишкових результатів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навчання вчитель обирає самостійно, але доцільно його проводити з використанням таких різнорівневих завдань: </w:t>
      </w:r>
    </w:p>
    <w:p w:rsidR="00811970" w:rsidRDefault="00A916AB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впізнавання навчального змісту, його відтворення по пам’яті чи за наданим зразком; </w:t>
      </w:r>
    </w:p>
    <w:p w:rsidR="00811970" w:rsidRDefault="00A916AB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застосування знань або способів дій у типових ситуаціях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1970" w:rsidRDefault="00A916AB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відтворення відомого шляху міркування або застосування засвоєного способу дії у ситуації, яка дещо відрізняється від типової; </w:t>
      </w:r>
    </w:p>
    <w:p w:rsidR="00811970" w:rsidRDefault="00A916AB">
      <w:pPr>
        <w:pStyle w:val="a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творче застосування навчального досвіду в ситуаціях, наближених до життєвого контексту, які пов'язані з самостійним пошук</w:t>
      </w:r>
      <w:r>
        <w:rPr>
          <w:rFonts w:ascii="Times New Roman" w:hAnsi="Times New Roman"/>
          <w:color w:val="000000"/>
          <w:sz w:val="24"/>
          <w:szCs w:val="24"/>
        </w:rPr>
        <w:t xml:space="preserve">ом шляху розв’язання проблеми,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добором і пристосуванням доступної інформації, поєднанням і доцільним використанням елементів знань чи вмінь з інших тем, оцінкою об’єктів чи явищ.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Подібна диференціація завдань дозволить встановити, якому етапу досягнення </w:t>
      </w:r>
      <w:r>
        <w:rPr>
          <w:rFonts w:ascii="Times New Roman" w:hAnsi="Times New Roman"/>
          <w:color w:val="000000"/>
          <w:sz w:val="24"/>
          <w:szCs w:val="24"/>
        </w:rPr>
        <w:t>навчальної мети відповідає залишковий результат навчання та де дитина має утруднення чи нерозуміння.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Залежно від результатів діагностування вчитель може розширити тематичний блок «Повторення (за попередній навчальний рік)» та ущільнити програмовий матеріал</w:t>
      </w:r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811970" w:rsidRDefault="00A916AB">
      <w:pPr>
        <w:pStyle w:val="a0"/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Результати діагностування не підлягають обліку та </w:t>
      </w:r>
      <w:r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не враховуються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 під час оцінювання за І семестр.</w:t>
      </w:r>
    </w:p>
    <w:p w:rsidR="00811970" w:rsidRDefault="00A916AB">
      <w:pPr>
        <w:pStyle w:val="a0"/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i/>
          <w:iCs/>
          <w:color w:val="000000"/>
          <w:sz w:val="24"/>
          <w:szCs w:val="24"/>
        </w:rPr>
        <w:t>Важливо! У разі відсутності результатів річного оцінювання за 2021/2022 навчальний рік здобувач освіти має право пройти річне оцінювання до початку 2022/2</w:t>
      </w:r>
      <w:r>
        <w:rPr>
          <w:rStyle w:val="a4"/>
          <w:rFonts w:ascii="Times New Roman" w:hAnsi="Times New Roman"/>
          <w:i/>
          <w:iCs/>
          <w:color w:val="000000"/>
          <w:sz w:val="24"/>
          <w:szCs w:val="24"/>
        </w:rPr>
        <w:t>023 навчального року.</w:t>
      </w:r>
    </w:p>
    <w:p w:rsidR="00811970" w:rsidRDefault="00811970">
      <w:pPr>
        <w:pStyle w:val="a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Оцінювання здобувачів початкової освіти</w:t>
      </w:r>
    </w:p>
    <w:p w:rsidR="00811970" w:rsidRDefault="00A916AB">
      <w:pPr>
        <w:pStyle w:val="a0"/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Заклади загальної середньої освіти можуть розробити власну систему оцінювання результатів навчання учнів або скористатись чинними </w:t>
      </w:r>
      <w:hyperlink r:id="rId15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Методичними рекомендаціями щодо оцінювання результатів навчання учнів 1-4 класів закладів загальної середньої освіти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1–4 класах </w:t>
      </w:r>
      <w:r>
        <w:rPr>
          <w:rFonts w:ascii="Times New Roman" w:hAnsi="Times New Roman"/>
          <w:color w:val="000000"/>
          <w:sz w:val="24"/>
          <w:szCs w:val="24"/>
        </w:rPr>
        <w:t>закладів загальної середньої освіти здійснюють формувальне та підсумкове (річне) оцінювання. У 1–2 класів оцінювання навчальних досягнень учнів виражають вербальною оцінкою (оцінювальним судженням), у 3–4 класах за рішенням педагогічної ради може використо</w:t>
      </w:r>
      <w:r>
        <w:rPr>
          <w:rFonts w:ascii="Times New Roman" w:hAnsi="Times New Roman"/>
          <w:color w:val="000000"/>
          <w:sz w:val="24"/>
          <w:szCs w:val="24"/>
        </w:rPr>
        <w:t>вуватись як вербальна, так і рівнева оцінка. Слід зазначити, що в межах одного закладу освіти у різних класах можуть використовуватись різні форми оцінювання.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підсумкового оцінювання в кінці навчального року достатньо мати записи оцінювальних суджень у</w:t>
      </w:r>
      <w:r>
        <w:rPr>
          <w:rFonts w:ascii="Times New Roman" w:hAnsi="Times New Roman"/>
          <w:color w:val="000000"/>
          <w:sz w:val="24"/>
          <w:szCs w:val="24"/>
        </w:rPr>
        <w:t xml:space="preserve"> робочих зошитах, навчальних посібниках з друкованою основою, зошитах для діагностувальних робіт, носіях взаємозв’язку з батьками, у класному журналі. Дублювання оцінювальних суджень на інших носіях інформації, зокрема ведення учителем зошитів спостережень</w:t>
      </w:r>
      <w:r>
        <w:rPr>
          <w:rFonts w:ascii="Times New Roman" w:hAnsi="Times New Roman"/>
          <w:color w:val="000000"/>
          <w:sz w:val="24"/>
          <w:szCs w:val="24"/>
        </w:rPr>
        <w:t xml:space="preserve"> за результатами навчання кожного учня, вважається нераціональним використанням робочого часу.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Оцінювання учнів 5 класів НУШ</w:t>
      </w:r>
    </w:p>
    <w:p w:rsidR="00811970" w:rsidRDefault="00A916AB">
      <w:pPr>
        <w:pStyle w:val="a0"/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Згідно з </w:t>
      </w:r>
      <w:hyperlink r:id="rId16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Держстандартом 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оцінювання учнів 5 класів має бути зорієнтованим на обов’язкові результати навчання й орієнтири їх оцінювання та на очікувані результати навчання, передбачені навчальною програмою з відповідного предмета/інтегрованого курсу. Оці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нювання результатів навчання учнів 5 класів НУШ здійснюється відповідно до Методичних рекомендацій, затверджених </w:t>
      </w:r>
      <w:hyperlink r:id="rId1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наказом МОН від 01.04.2022 №289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забезпечення наступності між початковою та базовою середньою освітою підсумкове оцінювання за І семестр рекомендується здійс</w:t>
      </w:r>
      <w:r>
        <w:rPr>
          <w:rFonts w:ascii="Times New Roman" w:hAnsi="Times New Roman"/>
          <w:color w:val="000000"/>
          <w:sz w:val="24"/>
          <w:szCs w:val="24"/>
        </w:rPr>
        <w:t>нювати за рівневою шкалою з позначенням результатів відповідними літерами та супроводженням позитивної вербальної характеристики. Відповідно до Методичних рекомендацій у семестровому оцінюванні враховуються досягнення учнями груп загальних результатів навч</w:t>
      </w:r>
      <w:r>
        <w:rPr>
          <w:rFonts w:ascii="Times New Roman" w:hAnsi="Times New Roman"/>
          <w:color w:val="000000"/>
          <w:sz w:val="24"/>
          <w:szCs w:val="24"/>
        </w:rPr>
        <w:t>ання, тому у календарно-тематичному плані слід визначити відповідність кожного очікуваного результату певній групі загальних результатів, якої необхідно досягти на уроці.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Річне оцінювання здійснюється відповідно до облікованих у класному журналі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ів навчання школярів та відображається у Свідоцтві досягнень у графі «Характеристика результатів навчання» шляхом виставлення оцінки за кожну групу загальних результатів та «загальної оцінки результатів навчання». Механізм виведення останньої визначається </w:t>
      </w:r>
      <w:r>
        <w:rPr>
          <w:rFonts w:ascii="Times New Roman" w:hAnsi="Times New Roman"/>
          <w:color w:val="000000"/>
          <w:sz w:val="24"/>
          <w:szCs w:val="24"/>
        </w:rPr>
        <w:t>для кожного предмета й описується в інструментарії оцінювання в освітній програмі.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Якщо оцінювання проводилось у І семестрі за рівневою шкалою, а в ІІ семестрі – за бальною, при виставленні річної оцінки рекомендується орієнтуватись на оцінку за ІІ семестр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1970" w:rsidRDefault="00811970">
      <w:pPr>
        <w:pStyle w:val="a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Оцінювання учнів 6 – 11 класів</w:t>
      </w:r>
    </w:p>
    <w:p w:rsidR="00811970" w:rsidRDefault="00A916AB">
      <w:pPr>
        <w:pStyle w:val="a0"/>
        <w:shd w:val="clear" w:color="auto" w:fill="FFFFFF"/>
        <w:spacing w:after="0" w:line="240" w:lineRule="auto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Оцінювання школярів 6-11 класів здійснюється за </w:t>
      </w:r>
      <w:hyperlink r:id="rId18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Критеріями оцінювання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 та </w:t>
      </w:r>
      <w:hyperlink r:id="rId19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 xml:space="preserve">Орієнтовними </w:t>
        </w:r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вимогами оцінювання навчальних досягнень учнів із базових дисциплін у системі загальної середньої освіти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Складниками системи підсумкового оцінювання навчальних досягнень школярів є:</w:t>
      </w:r>
    </w:p>
    <w:p w:rsidR="00811970" w:rsidRDefault="00A916AB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тематичне оцінювання. Враховуються всі види навчальної діяльності, які о</w:t>
      </w:r>
      <w:r>
        <w:rPr>
          <w:rFonts w:ascii="Times New Roman" w:hAnsi="Times New Roman"/>
          <w:color w:val="000000"/>
          <w:sz w:val="24"/>
          <w:szCs w:val="24"/>
        </w:rPr>
        <w:t>цінювались протягом вивчення відповідної теми. Окрема атестації, як правило, не проводиться.</w:t>
      </w:r>
    </w:p>
    <w:p w:rsidR="00811970" w:rsidRDefault="00A916AB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семестрове оцінювання. Здійснюється на підставі тематичних оцінок, також має враховуватись динаміка особистих навчальних досягнень учня з предмета протягом семестр</w:t>
      </w:r>
      <w:r>
        <w:rPr>
          <w:rFonts w:ascii="Times New Roman" w:hAnsi="Times New Roman"/>
          <w:color w:val="000000"/>
          <w:sz w:val="24"/>
          <w:szCs w:val="24"/>
        </w:rPr>
        <w:t>у, важливість теми, тривалість її вивчення, складність змісту тощо.</w:t>
      </w:r>
    </w:p>
    <w:p w:rsidR="00811970" w:rsidRDefault="00A916AB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річне оцінювання. Здійснюється на підставі семестрових або скоригованих семестрових оцінок і є не обов’язково їхнім середнім арифметичним. 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Семестрове оцінювання здобувачів освіти з тимчас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ово окупованих територій, з числа внутрішньо переміщених осіб і тих, хто повернулися на постійне місце проживання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здійсненні семестрового оцінювання цих учнів зараховуються всі оцінки, які вони отримали впродовж семестру незалежно від місця навчання та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 здобуття освіти (очної, змішаної, дистанційної, екстернатної, сімейної). Оцінки можуть бути обліковані у таких носіях інформації:</w:t>
      </w:r>
    </w:p>
    <w:p w:rsidR="00811970" w:rsidRDefault="00A916AB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інформаційних довідках закладів освіти, де тимчасово навчались школярі. У них має бути зазначений період навчання, пере</w:t>
      </w:r>
      <w:r>
        <w:rPr>
          <w:rFonts w:ascii="Times New Roman" w:hAnsi="Times New Roman"/>
          <w:color w:val="000000"/>
          <w:sz w:val="24"/>
          <w:szCs w:val="24"/>
        </w:rPr>
        <w:t>лік предметів, окремих тем та результатів оцінювання;</w:t>
      </w:r>
    </w:p>
    <w:p w:rsidR="00811970" w:rsidRDefault="00A916AB">
      <w:pPr>
        <w:pStyle w:val="a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електронних журналах та щоденниках за попереднім місцем навчання.</w:t>
      </w:r>
    </w:p>
    <w:p w:rsidR="00811970" w:rsidRDefault="00A916AB">
      <w:pPr>
        <w:pStyle w:val="a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Якщо учні, які повернулись на постійне місце проживання та з тимчасово окупованих територій, не мають облікованих результатів оцінювання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попереднім місцем навчання, школа може провести підсумкове семестрове оцінювання у вигляді контрольної роботи, тестування, співбесіди тощо за допомогою технологій дистанційного навчання (за потреби).</w:t>
      </w:r>
    </w:p>
    <w:p w:rsidR="00811970" w:rsidRDefault="00811970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1970"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AB" w:rsidRDefault="00A916AB">
      <w:pPr>
        <w:spacing w:after="0" w:line="240" w:lineRule="auto"/>
      </w:pPr>
      <w:r>
        <w:separator/>
      </w:r>
    </w:p>
  </w:endnote>
  <w:endnote w:type="continuationSeparator" w:id="0">
    <w:p w:rsidR="00A916AB" w:rsidRDefault="00A9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AB" w:rsidRDefault="00A916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16AB" w:rsidRDefault="00A9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8F6"/>
    <w:multiLevelType w:val="multilevel"/>
    <w:tmpl w:val="4162BA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78B3009"/>
    <w:multiLevelType w:val="multilevel"/>
    <w:tmpl w:val="0D501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2B80387"/>
    <w:multiLevelType w:val="multilevel"/>
    <w:tmpl w:val="DD00F6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EBC61A3"/>
    <w:multiLevelType w:val="multilevel"/>
    <w:tmpl w:val="F8A806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668330B"/>
    <w:multiLevelType w:val="multilevel"/>
    <w:tmpl w:val="B7141A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1970"/>
    <w:rsid w:val="00811970"/>
    <w:rsid w:val="00A916AB"/>
    <w:rsid w:val="00D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16BDE-F50D-4C7D-A784-AA919E5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pPr>
      <w:spacing w:before="100" w:after="10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ычный"/>
    <w:pPr>
      <w:suppressAutoHyphens/>
    </w:pPr>
  </w:style>
  <w:style w:type="character" w:customStyle="1" w:styleId="a4">
    <w:name w:val="Основной шрифт абзаца"/>
  </w:style>
  <w:style w:type="character" w:customStyle="1" w:styleId="30">
    <w:name w:val="Заголовок 3 Знак"/>
    <w:basedOn w:val="a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Обычный (веб)"/>
    <w:basedOn w:val="a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Гиперссылка"/>
    <w:basedOn w:val="a4"/>
    <w:rPr>
      <w:color w:val="0000FF"/>
      <w:u w:val="single"/>
    </w:rPr>
  </w:style>
  <w:style w:type="character" w:customStyle="1" w:styleId="a7">
    <w:name w:val="Выделение"/>
    <w:basedOn w:val="a4"/>
    <w:rPr>
      <w:i/>
      <w:iCs/>
    </w:rPr>
  </w:style>
  <w:style w:type="character" w:styleId="a8">
    <w:name w:val="Strong"/>
    <w:basedOn w:val="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24-15#Text" TargetMode="External"/><Relationship Id="rId13" Type="http://schemas.openxmlformats.org/officeDocument/2006/relationships/hyperlink" Target="https://zakon.rada.gov.ua/rada/show/v1222729-13" TargetMode="External"/><Relationship Id="rId18" Type="http://schemas.openxmlformats.org/officeDocument/2006/relationships/hyperlink" Target="https://zakon.rada.gov.ua/laws/show/z0566-11#Tex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463-20?find=1&amp;text=&#1089;&#1090;&#1072;&#1090;&#1090;&#1103;%2B17&amp;w1_1" TargetMode="External"/><Relationship Id="rId12" Type="http://schemas.openxmlformats.org/officeDocument/2006/relationships/hyperlink" Target="https://zakon.rada.gov.ua/laws/show/z0566-11#Text" TargetMode="External"/><Relationship Id="rId17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mu.gov.ua/npas/pro-deyaki-pitannya-derzhavnih-standartiv-povnoyi-zagalnoyi-serednoyi-osviti-i300920-8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10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19" Type="http://schemas.openxmlformats.org/officeDocument/2006/relationships/hyperlink" Target="https://zakon.rada.gov.ua/rada/show/v1222729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14" Type="http://schemas.openxmlformats.org/officeDocument/2006/relationships/hyperlink" Target="https://zakon.rada.gov.ua/rada/show/v1222729-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6582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2023-02-28T06:21:00Z</dcterms:created>
  <dcterms:modified xsi:type="dcterms:W3CDTF">2023-02-28T06:21:00Z</dcterms:modified>
</cp:coreProperties>
</file>