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4C9DD" w14:textId="77777777" w:rsidR="00864160" w:rsidRPr="00864160" w:rsidRDefault="00864160" w:rsidP="00864160">
      <w:pPr>
        <w:shd w:val="clear" w:color="auto" w:fill="FFFFFF"/>
        <w:spacing w:before="150" w:after="0" w:line="240" w:lineRule="auto"/>
        <w:ind w:left="150"/>
        <w:outlineLvl w:val="1"/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</w:pPr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Порядок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реагування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на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доведені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випадки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булінгу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(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цькування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) в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закладі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освіти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та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відповідальність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осіб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,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причетних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до 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булінгу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 xml:space="preserve"> (</w:t>
      </w:r>
      <w:proofErr w:type="spellStart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цькування</w:t>
      </w:r>
      <w:proofErr w:type="spellEnd"/>
      <w:r w:rsidRPr="00864160">
        <w:rPr>
          <w:rFonts w:ascii="Trebuchet MS" w:eastAsia="Times New Roman" w:hAnsi="Trebuchet MS"/>
          <w:b/>
          <w:bCs/>
          <w:color w:val="67836A"/>
          <w:sz w:val="33"/>
          <w:szCs w:val="33"/>
          <w:lang w:val="ru-UA" w:eastAsia="ru-UA"/>
        </w:rPr>
        <w:t>)</w:t>
      </w:r>
    </w:p>
    <w:p w14:paraId="54B0E5E5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      Порядок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роботи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комісії</w:t>
      </w:r>
      <w:proofErr w:type="spellEnd"/>
    </w:p>
    <w:p w14:paraId="21706E64" w14:textId="77777777" w:rsidR="00864160" w:rsidRPr="00864160" w:rsidRDefault="00864160" w:rsidP="00864160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Метою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діяльності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є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припинення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випадку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закладі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відновлення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нормалізація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стосунків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створення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сприятливих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умов для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подальшого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здобуття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оцінка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потреб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сторін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7147B0E4" w14:textId="77777777" w:rsidR="00864160" w:rsidRPr="00864160" w:rsidRDefault="00864160" w:rsidP="00864160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Діяльність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здійснюється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на принципах: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законності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верховенства права,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поваги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дотримання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прав і свобод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людини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неупередженого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ставлення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сторін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відкритості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прозорості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конфіденційності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захисту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персональних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даних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невідкладного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реагування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комплексного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підходу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випадку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нетерпимості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визначення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його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суспільної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небезпеки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665A0E5E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своїй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діяльності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забезпечує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дотримання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вимог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Законів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України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«Про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інформацію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», «Про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захист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персональних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даних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».</w:t>
      </w:r>
    </w:p>
    <w:p w14:paraId="27E60996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> </w:t>
      </w:r>
    </w:p>
    <w:p w14:paraId="3F0A8660" w14:textId="77777777" w:rsidR="00864160" w:rsidRPr="00864160" w:rsidRDefault="00864160" w:rsidP="00864160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i/>
          <w:iCs/>
          <w:color w:val="000000"/>
          <w:szCs w:val="28"/>
          <w:lang w:val="ru-UA" w:eastAsia="ru-UA"/>
        </w:rPr>
        <w:t xml:space="preserve">До </w:t>
      </w:r>
      <w:proofErr w:type="spellStart"/>
      <w:r w:rsidRPr="00864160">
        <w:rPr>
          <w:rFonts w:eastAsia="Times New Roman"/>
          <w:i/>
          <w:iCs/>
          <w:color w:val="000000"/>
          <w:szCs w:val="28"/>
          <w:lang w:val="ru-UA" w:eastAsia="ru-UA"/>
        </w:rPr>
        <w:t>завдань</w:t>
      </w:r>
      <w:proofErr w:type="spellEnd"/>
      <w:r w:rsidRPr="00864160">
        <w:rPr>
          <w:rFonts w:eastAsia="Times New Roman"/>
          <w:i/>
          <w:i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i/>
          <w:iCs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i/>
          <w:iCs/>
          <w:color w:val="000000"/>
          <w:szCs w:val="28"/>
          <w:lang w:val="ru-UA" w:eastAsia="ru-UA"/>
        </w:rPr>
        <w:t xml:space="preserve"> належать:</w:t>
      </w:r>
    </w:p>
    <w:p w14:paraId="11D1E446" w14:textId="77777777" w:rsidR="00864160" w:rsidRPr="00864160" w:rsidRDefault="00864160" w:rsidP="00864160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збір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інформації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щодо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обставин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випадку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;</w:t>
      </w:r>
    </w:p>
    <w:p w14:paraId="3C2F0B46" w14:textId="77777777" w:rsidR="00864160" w:rsidRPr="00864160" w:rsidRDefault="00864160" w:rsidP="00864160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аналіз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зібраних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матеріалів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;</w:t>
      </w:r>
    </w:p>
    <w:p w14:paraId="73D05EF5" w14:textId="77777777" w:rsidR="00864160" w:rsidRPr="00864160" w:rsidRDefault="00864160" w:rsidP="00864160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разі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прийняття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рішення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комісією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наявність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обставин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обґрунтовують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інформацію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зазначену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заяві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завдань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також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належать: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оцінка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потреб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сторін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отриманні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соціальних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психолого-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педагогічних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послуг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забезпечення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таких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послуг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в тому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числі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із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залученням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фахівців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служби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справах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дітей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центру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соціальних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служб для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сім’ї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дітей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молоді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визначення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причин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необхідних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заходів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для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усунення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таких причин;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визначення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заходів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виховного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впливу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щодо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сторін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моніторинг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ефективності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соціальних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психолого-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педагогічних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послуг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заходів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усунення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причин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заходів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виховного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впливу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корегування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рекомендацій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для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педагогічних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працівників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закладу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</w:p>
    <w:p w14:paraId="1BD7D7BD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рекомендацій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для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педагогічних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працівників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закладу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щодо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доцільних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методів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здійснення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освітнього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процесу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інших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заходів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малолітніми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чи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неповнолітніми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сторонами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їхніми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батьками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або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іншими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законними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представниками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;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рекомендацій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для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батьків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або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інших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законних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представників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малолітньої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чи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неповнолітньої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особи, яка стала стороною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).</w:t>
      </w:r>
    </w:p>
    <w:p w14:paraId="427C3584" w14:textId="77777777" w:rsidR="00864160" w:rsidRPr="00864160" w:rsidRDefault="00864160" w:rsidP="00864160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Формою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роботи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є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які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проводяться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разі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потреби. Дату, час і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місце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проведення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визначає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її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голова.</w:t>
      </w:r>
    </w:p>
    <w:p w14:paraId="321DEA36" w14:textId="77777777" w:rsidR="00864160" w:rsidRPr="00864160" w:rsidRDefault="00864160" w:rsidP="00864160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lastRenderedPageBreak/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є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правоможним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разі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участі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ньому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не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менше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як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двох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третин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її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складу.</w:t>
      </w:r>
    </w:p>
    <w:p w14:paraId="40AEEA9D" w14:textId="77777777" w:rsidR="00864160" w:rsidRPr="00864160" w:rsidRDefault="00864160" w:rsidP="00864160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Секретар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не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пізніше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вісімнадцятої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години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дня,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передує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дню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повідомляє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членів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також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заявника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інших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заінтересованих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осіб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про порядок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денний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запланованого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дату, час і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місце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його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проведення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також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надає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/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надсилає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членам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зазначеним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особам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необхідні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матеріали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електронному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або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паперовому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вигляді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116B7070" w14:textId="77777777" w:rsidR="00864160" w:rsidRPr="00864160" w:rsidRDefault="00864160" w:rsidP="00864160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Рішення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питань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розглядаються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приймаються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шляхом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відкритого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голосування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більшістю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голосів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затвердженого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складу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.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разі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рівного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розподілу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голосів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голос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голови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є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вирішальним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61C545A3" w14:textId="77777777" w:rsidR="00864160" w:rsidRPr="00864160" w:rsidRDefault="00864160" w:rsidP="00864160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час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проведення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секретар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веде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протокол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 формою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згідно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додатком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Порядку,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оформлюється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наказом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керівника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закладу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680D6CF5" w14:textId="77777777" w:rsidR="00864160" w:rsidRPr="00864160" w:rsidRDefault="00864160" w:rsidP="00864160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Особи,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залучені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участі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зобов’язані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дотримуватись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принципів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діяльності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зокрема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не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розголошувати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стороннім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особам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відомості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стали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їм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відомі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зв’язку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участю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роботі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і не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використовувати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їх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своїх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інтересах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або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інтересах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третіх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осіб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6619DEAD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Особи,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залучені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участі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час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мають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право:</w:t>
      </w:r>
    </w:p>
    <w:p w14:paraId="09806D5D" w14:textId="77777777" w:rsidR="00864160" w:rsidRPr="00864160" w:rsidRDefault="00864160" w:rsidP="00864160">
      <w:pPr>
        <w:numPr>
          <w:ilvl w:val="0"/>
          <w:numId w:val="5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ознайомлюватися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матеріалами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поданими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;</w:t>
      </w:r>
    </w:p>
    <w:p w14:paraId="1EF04C73" w14:textId="77777777" w:rsidR="00864160" w:rsidRPr="00864160" w:rsidRDefault="00864160" w:rsidP="00864160">
      <w:pPr>
        <w:numPr>
          <w:ilvl w:val="0"/>
          <w:numId w:val="5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ставити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питання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суті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;</w:t>
      </w:r>
    </w:p>
    <w:p w14:paraId="03B18C15" w14:textId="77777777" w:rsidR="00864160" w:rsidRPr="00864160" w:rsidRDefault="00864160" w:rsidP="00864160">
      <w:pPr>
        <w:numPr>
          <w:ilvl w:val="0"/>
          <w:numId w:val="5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подавати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пропозиції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висловлювати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власну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думку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питань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розглядаються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4D57ACDD" w14:textId="77777777" w:rsidR="00864160" w:rsidRPr="00864160" w:rsidRDefault="00864160" w:rsidP="00864160">
      <w:pPr>
        <w:numPr>
          <w:ilvl w:val="0"/>
          <w:numId w:val="6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Голова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доводить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відома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учасників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освітнього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процесу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рішення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згідно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протоколом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засідання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здійснює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контроль за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їхнім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виконанням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378F6CB5" w14:textId="77777777" w:rsidR="00864160" w:rsidRPr="00864160" w:rsidRDefault="00864160" w:rsidP="00864160">
      <w:pPr>
        <w:numPr>
          <w:ilvl w:val="0"/>
          <w:numId w:val="6"/>
        </w:numPr>
        <w:shd w:val="clear" w:color="auto" w:fill="FFFFFF"/>
        <w:spacing w:after="150" w:line="248" w:lineRule="atLeast"/>
        <w:ind w:left="135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 xml:space="preserve">Строк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розгляду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комісією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заяви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або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повідомлення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про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випадок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булінгу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)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закладі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виконання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нею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своїх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завдань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не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має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перевищувати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десяти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робочих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днів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із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дня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отримання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заяви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або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повідомлення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керівником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закладу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освіти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>.</w:t>
      </w:r>
    </w:p>
    <w:p w14:paraId="144A2E1A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t> </w:t>
      </w:r>
    </w:p>
    <w:p w14:paraId="7CD766D2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Принагідно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інформуємо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що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відповідно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наказу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Міністерства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внутрішніх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справ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України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«Про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затвердження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Змін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Інструкції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з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організації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 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роботи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підрозділів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ювенальної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превенції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Національної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поліції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України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»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25.06.2020 № 488,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зареєстрованого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в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Міністерстві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юстиції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України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03 </w:t>
      </w:r>
      <w:proofErr w:type="spellStart"/>
      <w:r w:rsidRPr="00864160">
        <w:rPr>
          <w:rFonts w:eastAsia="Times New Roman"/>
          <w:color w:val="000000"/>
          <w:szCs w:val="28"/>
          <w:lang w:val="ru-UA" w:eastAsia="ru-UA"/>
        </w:rPr>
        <w:t>серпня</w:t>
      </w:r>
      <w:proofErr w:type="spellEnd"/>
      <w:r w:rsidRPr="00864160">
        <w:rPr>
          <w:rFonts w:eastAsia="Times New Roman"/>
          <w:color w:val="000000"/>
          <w:szCs w:val="28"/>
          <w:lang w:val="ru-UA" w:eastAsia="ru-UA"/>
        </w:rPr>
        <w:t xml:space="preserve"> 2020 року  № 738/35021, 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дитина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, яка вчинила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булінг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(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цькування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)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учасника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освітнього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процесу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підлягає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взяттю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на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профілактичний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облік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з метою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здійснення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заходів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індивідуальної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профілактики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поліцейськими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підрозділами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ювенальної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  <w:proofErr w:type="spellStart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превенції</w:t>
      </w:r>
      <w:proofErr w:type="spellEnd"/>
      <w:r w:rsidRPr="00864160">
        <w:rPr>
          <w:rFonts w:eastAsia="Times New Roman"/>
          <w:b/>
          <w:bCs/>
          <w:color w:val="000000"/>
          <w:szCs w:val="28"/>
          <w:lang w:val="ru-UA" w:eastAsia="ru-UA"/>
        </w:rPr>
        <w:t>.</w:t>
      </w:r>
    </w:p>
    <w:p w14:paraId="6E907C26" w14:textId="77777777" w:rsidR="00864160" w:rsidRPr="00864160" w:rsidRDefault="00864160" w:rsidP="00864160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/>
          <w:color w:val="737373"/>
          <w:sz w:val="17"/>
          <w:szCs w:val="17"/>
          <w:lang w:val="ru-UA" w:eastAsia="ru-UA"/>
        </w:rPr>
      </w:pPr>
      <w:r w:rsidRPr="00864160">
        <w:rPr>
          <w:rFonts w:eastAsia="Times New Roman"/>
          <w:color w:val="000000"/>
          <w:szCs w:val="28"/>
          <w:lang w:val="ru-UA" w:eastAsia="ru-UA"/>
        </w:rPr>
        <w:lastRenderedPageBreak/>
        <w:t> </w:t>
      </w:r>
    </w:p>
    <w:p w14:paraId="51067EBE" w14:textId="77777777" w:rsidR="00B21797" w:rsidRPr="00864160" w:rsidRDefault="00B21797">
      <w:pPr>
        <w:rPr>
          <w:lang w:val="ru-UA"/>
        </w:rPr>
      </w:pPr>
      <w:bookmarkStart w:id="0" w:name="_GoBack"/>
      <w:bookmarkEnd w:id="0"/>
    </w:p>
    <w:sectPr w:rsidR="00B21797" w:rsidRPr="0086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C0F"/>
    <w:multiLevelType w:val="multilevel"/>
    <w:tmpl w:val="5B5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0B12"/>
    <w:multiLevelType w:val="multilevel"/>
    <w:tmpl w:val="E798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F5DE1"/>
    <w:multiLevelType w:val="multilevel"/>
    <w:tmpl w:val="A742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C6D1B"/>
    <w:multiLevelType w:val="multilevel"/>
    <w:tmpl w:val="F69C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859CA"/>
    <w:multiLevelType w:val="multilevel"/>
    <w:tmpl w:val="A63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71A14"/>
    <w:multiLevelType w:val="multilevel"/>
    <w:tmpl w:val="4A90C8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6D"/>
    <w:rsid w:val="0039066D"/>
    <w:rsid w:val="00864160"/>
    <w:rsid w:val="00B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0C9B-F0C5-4B68-915D-E81F775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1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160"/>
    <w:rPr>
      <w:rFonts w:eastAsia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8641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864160"/>
    <w:rPr>
      <w:b/>
      <w:bCs/>
    </w:rPr>
  </w:style>
  <w:style w:type="character" w:styleId="a5">
    <w:name w:val="Emphasis"/>
    <w:basedOn w:val="a0"/>
    <w:uiPriority w:val="20"/>
    <w:qFormat/>
    <w:rsid w:val="00864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2021-06-14T09:24:00Z</dcterms:created>
  <dcterms:modified xsi:type="dcterms:W3CDTF">2021-06-14T09:25:00Z</dcterms:modified>
</cp:coreProperties>
</file>