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57" w:rsidRPr="00916857" w:rsidRDefault="00916857" w:rsidP="00916857">
      <w:pPr>
        <w:shd w:val="clear" w:color="auto" w:fill="4479B5"/>
        <w:spacing w:after="0" w:line="240" w:lineRule="auto"/>
        <w:jc w:val="center"/>
        <w:textAlignment w:val="baseline"/>
        <w:outlineLvl w:val="0"/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</w:pPr>
      <w:proofErr w:type="spellStart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>Індивідуальна</w:t>
      </w:r>
      <w:proofErr w:type="spellEnd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 форма </w:t>
      </w:r>
      <w:proofErr w:type="spellStart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>навчання</w:t>
      </w:r>
      <w:proofErr w:type="spellEnd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: </w:t>
      </w:r>
      <w:proofErr w:type="spellStart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>відповіді</w:t>
      </w:r>
      <w:proofErr w:type="spellEnd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 МОН на </w:t>
      </w:r>
      <w:proofErr w:type="spellStart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>поширені</w:t>
      </w:r>
      <w:proofErr w:type="spellEnd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 </w:t>
      </w:r>
      <w:proofErr w:type="spellStart"/>
      <w:r w:rsidRPr="00916857">
        <w:rPr>
          <w:rFonts w:ascii="Museo900" w:eastAsia="Times New Roman" w:hAnsi="Museo900" w:cs="Times New Roman"/>
          <w:b/>
          <w:bCs/>
          <w:color w:val="FFFFFF"/>
          <w:kern w:val="36"/>
          <w:sz w:val="48"/>
          <w:szCs w:val="48"/>
          <w:lang w:eastAsia="ru-RU"/>
        </w:rPr>
        <w:t>запитання</w:t>
      </w:r>
      <w:proofErr w:type="spellEnd"/>
    </w:p>
    <w:p w:rsidR="00916857" w:rsidRPr="00916857" w:rsidRDefault="00916857" w:rsidP="00916857">
      <w:pPr>
        <w:shd w:val="clear" w:color="auto" w:fill="4479B5"/>
        <w:spacing w:after="0" w:line="240" w:lineRule="auto"/>
        <w:jc w:val="center"/>
        <w:textAlignment w:val="baseline"/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</w:pPr>
      <w:proofErr w:type="spellStart"/>
      <w:r w:rsidRPr="00916857"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  <w:t>від</w:t>
      </w:r>
      <w:proofErr w:type="spellEnd"/>
      <w:r w:rsidRPr="00916857"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  <w:t> </w:t>
      </w:r>
      <w:proofErr w:type="spellStart"/>
      <w:r w:rsidRPr="00916857">
        <w:rPr>
          <w:rFonts w:ascii="Museo500" w:eastAsia="Times New Roman" w:hAnsi="Museo500" w:cs="Times New Roman"/>
          <w:color w:val="FFFFFF"/>
          <w:sz w:val="24"/>
          <w:szCs w:val="24"/>
          <w:bdr w:val="none" w:sz="0" w:space="0" w:color="auto" w:frame="1"/>
          <w:lang w:eastAsia="ru-RU"/>
        </w:rPr>
        <w:t>Марини</w:t>
      </w:r>
      <w:proofErr w:type="spellEnd"/>
      <w:r w:rsidRPr="00916857">
        <w:rPr>
          <w:rFonts w:ascii="Museo500" w:eastAsia="Times New Roman" w:hAnsi="Museo500" w:cs="Times New Roman"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500" w:eastAsia="Times New Roman" w:hAnsi="Museo500" w:cs="Times New Roman"/>
          <w:color w:val="FFFFFF"/>
          <w:sz w:val="24"/>
          <w:szCs w:val="24"/>
          <w:bdr w:val="none" w:sz="0" w:space="0" w:color="auto" w:frame="1"/>
          <w:lang w:eastAsia="ru-RU"/>
        </w:rPr>
        <w:t>Корольчук</w:t>
      </w:r>
      <w:proofErr w:type="spellEnd"/>
    </w:p>
    <w:p w:rsidR="00916857" w:rsidRPr="00916857" w:rsidRDefault="00916857" w:rsidP="00916857">
      <w:pPr>
        <w:shd w:val="clear" w:color="auto" w:fill="4479B5"/>
        <w:spacing w:after="0" w:line="240" w:lineRule="auto"/>
        <w:jc w:val="center"/>
        <w:textAlignment w:val="baseline"/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</w:pPr>
      <w:r w:rsidRPr="00916857">
        <w:rPr>
          <w:rFonts w:ascii="Museo300" w:eastAsia="Times New Roman" w:hAnsi="Museo300" w:cs="Times New Roman"/>
          <w:color w:val="FFFFFF"/>
          <w:sz w:val="24"/>
          <w:szCs w:val="24"/>
          <w:bdr w:val="none" w:sz="0" w:space="0" w:color="auto" w:frame="1"/>
          <w:lang w:eastAsia="ru-RU"/>
        </w:rPr>
        <w:t xml:space="preserve">08 </w:t>
      </w:r>
      <w:proofErr w:type="spellStart"/>
      <w:r w:rsidRPr="00916857">
        <w:rPr>
          <w:rFonts w:ascii="Museo300" w:eastAsia="Times New Roman" w:hAnsi="Museo300" w:cs="Times New Roman"/>
          <w:color w:val="FFFFFF"/>
          <w:sz w:val="24"/>
          <w:szCs w:val="24"/>
          <w:bdr w:val="none" w:sz="0" w:space="0" w:color="auto" w:frame="1"/>
          <w:lang w:eastAsia="ru-RU"/>
        </w:rPr>
        <w:t>Жовтня</w:t>
      </w:r>
      <w:proofErr w:type="spellEnd"/>
      <w:r w:rsidRPr="00916857">
        <w:rPr>
          <w:rFonts w:ascii="Museo300" w:eastAsia="Times New Roman" w:hAnsi="Museo300" w:cs="Times New Roman"/>
          <w:color w:val="FFFFFF"/>
          <w:sz w:val="24"/>
          <w:szCs w:val="24"/>
          <w:bdr w:val="none" w:sz="0" w:space="0" w:color="auto" w:frame="1"/>
          <w:lang w:eastAsia="ru-RU"/>
        </w:rPr>
        <w:t xml:space="preserve"> 2019</w:t>
      </w:r>
    </w:p>
    <w:p w:rsidR="00916857" w:rsidRPr="00916857" w:rsidRDefault="00916857" w:rsidP="00916857">
      <w:pPr>
        <w:shd w:val="clear" w:color="auto" w:fill="4479B5"/>
        <w:spacing w:after="0" w:line="270" w:lineRule="atLeast"/>
        <w:jc w:val="center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</w:pPr>
      <w:r w:rsidRPr="00916857"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  <w:t>5430</w:t>
      </w:r>
    </w:p>
    <w:p w:rsidR="00916857" w:rsidRPr="00916857" w:rsidRDefault="00916857" w:rsidP="00916857">
      <w:pPr>
        <w:shd w:val="clear" w:color="auto" w:fill="4479B5"/>
        <w:spacing w:after="0" w:line="240" w:lineRule="auto"/>
        <w:jc w:val="center"/>
        <w:textAlignment w:val="baseline"/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</w:pPr>
      <w:r w:rsidRPr="00916857"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  <w:t> </w:t>
      </w:r>
    </w:p>
    <w:p w:rsidR="00916857" w:rsidRPr="00916857" w:rsidRDefault="00916857" w:rsidP="00916857">
      <w:pPr>
        <w:shd w:val="clear" w:color="auto" w:fill="4479B5"/>
        <w:spacing w:after="0" w:line="270" w:lineRule="atLeast"/>
        <w:jc w:val="center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</w:pPr>
      <w:r w:rsidRPr="00916857">
        <w:rPr>
          <w:rFonts w:ascii="inherit" w:eastAsia="Times New Roman" w:hAnsi="inherit" w:cs="Times New Roman"/>
          <w:color w:val="FFFFFF"/>
          <w:sz w:val="24"/>
          <w:szCs w:val="24"/>
          <w:bdr w:val="none" w:sz="0" w:space="0" w:color="auto" w:frame="1"/>
          <w:lang w:eastAsia="ru-RU"/>
        </w:rPr>
        <w:t>0</w:t>
      </w:r>
    </w:p>
    <w:p w:rsidR="00916857" w:rsidRPr="00916857" w:rsidRDefault="00916857" w:rsidP="00916857">
      <w:pPr>
        <w:shd w:val="clear" w:color="auto" w:fill="4479B5"/>
        <w:spacing w:after="0" w:line="240" w:lineRule="auto"/>
        <w:jc w:val="center"/>
        <w:textAlignment w:val="baseline"/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</w:pPr>
      <w:r w:rsidRPr="00916857">
        <w:rPr>
          <w:rFonts w:ascii="Museo300" w:eastAsia="Times New Roman" w:hAnsi="Museo300" w:cs="Times New Roman"/>
          <w:color w:val="FFFFFF"/>
          <w:sz w:val="24"/>
          <w:szCs w:val="24"/>
          <w:lang w:eastAsia="ru-RU"/>
        </w:rPr>
        <w:t> </w:t>
      </w:r>
    </w:p>
    <w:p w:rsidR="00916857" w:rsidRPr="00916857" w:rsidRDefault="00916857" w:rsidP="00916857">
      <w:pPr>
        <w:shd w:val="clear" w:color="auto" w:fill="4479B5"/>
        <w:spacing w:after="0" w:line="270" w:lineRule="atLeast"/>
        <w:jc w:val="center"/>
        <w:textAlignment w:val="baseline"/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</w:pPr>
      <w:r w:rsidRPr="00916857">
        <w:rPr>
          <w:rFonts w:ascii="inherit" w:eastAsia="Times New Roman" w:hAnsi="inherit" w:cs="Times New Roman"/>
          <w:color w:val="FFFFFF"/>
          <w:sz w:val="24"/>
          <w:szCs w:val="24"/>
          <w:lang w:eastAsia="ru-RU"/>
        </w:rPr>
        <w:t>1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   20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серпня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2019 року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набула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чинності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нова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редакція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Положення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загальної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середньої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Відтепер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батьки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можливість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обирати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спосіб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та форму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дитини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,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орієнтуючись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її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потреби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здібності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Донедавна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могли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тільки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поважних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причин, 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дозвіл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мало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надати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місцеве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управління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Нині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ж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будь-яку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не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потребує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додаткового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погодження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​   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вересні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Міністерство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і науки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України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опублікувало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роз’яснення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щодо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найпоширеніших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запитань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батьків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 Як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скласти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дитини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право батьки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шукаємо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сьогоднішній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статті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1.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Екстернат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і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освіта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вдома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—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форма?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   Так, але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лише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вони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Наразі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доступні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три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школі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: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сімейна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(вона ж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домашня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)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патронаж.</w:t>
      </w:r>
    </w:p>
    <w:p w:rsidR="00916857" w:rsidRPr="00916857" w:rsidRDefault="00916857" w:rsidP="00916857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Екстернатна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форма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коли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самостійно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засвоює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весь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матеріал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ісля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школі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знання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орієнтоване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опанували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опанувати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один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декілька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предметів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класів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навіть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івнів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швидше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своїх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однолітків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Сімейна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домашня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) форма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передбача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весь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процес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самостійно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організовують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батьки. Вони ж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несуть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відповідальність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знань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Держстандарту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 Разом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тим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зарахованим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певного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закладу,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відстежуватиме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прогрес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Педагогічний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патронаж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— форма,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випадку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процес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засвоєння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знань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забезпечує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працівник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передбачена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</w:t>
      </w:r>
      <w:proofErr w:type="spellEnd"/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станом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здоров’я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відвідувати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школу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щодня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перебувають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стаціонарному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лікуванні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закладах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охорони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здоров’я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потребують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біля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лікарняного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ліжка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вона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пристосована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потреб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здобувають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початкову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базову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школах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сільської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місцевості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lastRenderedPageBreak/>
        <w:t xml:space="preserve">через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малокомплектність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менше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5 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клас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)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організоване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закладі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   2. Як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дізнатись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надає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школа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освіту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забезпечує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обов’язково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вказані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веб-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сайті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закладу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нема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власної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Інтернет-сторінки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інформацію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потрібно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шукати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веб-сайтах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засновників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закладу.</w:t>
      </w:r>
    </w:p>
    <w:p w:rsidR="00916857" w:rsidRPr="00916857" w:rsidRDefault="00916857" w:rsidP="00916857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Засновником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закладу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загальної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середньої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орган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державної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влади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імені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держави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рада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імені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територіальної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громади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(громад),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фізична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та/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юридична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особа,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ішенням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рахунок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майна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засновано заклад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загальної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середньої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Статті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11 Закону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України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загальну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середню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).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   3. Як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почати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індивідуальною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формою?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Будь-яка форма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в тому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числі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й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потребу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щоб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зарахували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закладу —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потрібно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подати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необхідні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документи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noProof/>
          <w:color w:val="5E6977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8BD6255" wp14:editId="6472130B">
                <wp:extent cx="304800" cy="304800"/>
                <wp:effectExtent l="0" t="0" r="0" b="0"/>
                <wp:docPr id="2" name="AutoShape 1" descr="Індивідуальна форма навчання: відповіді МОН на поширені запитання на learning.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Індивідуальна форма навчання: відповіді МОН на поширені запитання на learning.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rNM7nLQMAAE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Основний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документ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аява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одного з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батьків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дитини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самого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є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повнолітнім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заяви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додаються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:</w:t>
      </w:r>
    </w:p>
    <w:p w:rsidR="00916857" w:rsidRPr="00916857" w:rsidRDefault="00916857" w:rsidP="00916857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документ,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посвідчує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особу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;</w:t>
      </w:r>
    </w:p>
    <w:p w:rsidR="00916857" w:rsidRPr="00916857" w:rsidRDefault="00916857" w:rsidP="00916857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медична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довідка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N 086-1/о;</w:t>
      </w:r>
    </w:p>
    <w:p w:rsidR="00916857" w:rsidRPr="00916857" w:rsidRDefault="00916857" w:rsidP="00916857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документ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є.</w:t>
      </w:r>
      <w:proofErr w:type="gramEnd"/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знадобитись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додаткові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документи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Скажімо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необхідно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буде документально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ідтвердити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підстави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обставини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застосування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патронажу (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наприклад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стан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здоров’я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знаходження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вартою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засудження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статус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біженця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).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Іноземці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особи без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громадянства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додатково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подають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копію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документа,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підтверджує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законність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їхнього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перебування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Україні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Внутрішньо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переміщені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особи,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іженці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особи з документами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необхідність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захисту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подавати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окремі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документи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причини.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   4.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форму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потрапити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лише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початку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навчального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року?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Так,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окр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окремих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випадків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зазвичай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проводиться до початку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року.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відбуватись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протягом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року, але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не 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ізніше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ніж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за 3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місяці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до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річного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державної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підсумкової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атестації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Однак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обмеження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застосовується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патронаж.</w:t>
      </w:r>
    </w:p>
    <w:p w:rsidR="00916857" w:rsidRPr="00916857" w:rsidRDefault="00916857" w:rsidP="00916857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lastRenderedPageBreak/>
        <w:t xml:space="preserve">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осіб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здобували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здобувають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кордоном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відношення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тимчасово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окупованих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територій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протягом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усього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календарного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року.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5.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можуть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перевести з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індивідуальної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інституційну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Так,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 не 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приносить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результату.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ішення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прийняти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батьки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рада закладу.</w:t>
      </w:r>
    </w:p>
    <w:p w:rsidR="00916857" w:rsidRPr="00916857" w:rsidRDefault="00916857" w:rsidP="00916857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застосувати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9 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класу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час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формою показав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низький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результат з предмету,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вивчав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поглиблено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 Або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сімейній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показує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низький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досягнень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Колишній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міні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стр</w:t>
      </w:r>
      <w:proofErr w:type="spellEnd"/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науки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України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Лілія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Гриневич,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коментуючи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зміни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Положення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відзначає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:</w:t>
      </w:r>
    </w:p>
    <w:p w:rsidR="00916857" w:rsidRPr="00916857" w:rsidRDefault="00916857" w:rsidP="00916857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«Для нас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важливо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щоб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ця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форма не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використовувалась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недоброчесними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батьками.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На жаль, у нас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буває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так,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хочуть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забрати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дітей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створення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сприятливих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умов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а,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наприклад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використання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дітей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домашньому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господарстві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таких умов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відбувається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дуже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мало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можливостей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успішного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життя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майбутньому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 Ми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маємо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захистити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права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дитини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».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6.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поєднувати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ізні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Так, законом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передбачено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поєднання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реалізовано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через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формують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закладі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поєднання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ізних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варто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одразу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зазначати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в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заяві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7.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таке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навчальний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план?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обов’язковий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? Так,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вчасно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розроблений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затверджений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є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обов’язковим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формою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noProof/>
          <w:color w:val="5E6977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7D8CD43" wp14:editId="234739BD">
                <wp:extent cx="304800" cy="304800"/>
                <wp:effectExtent l="0" t="0" r="0" b="0"/>
                <wp:docPr id="1" name="AutoShape 2" descr="Індивідуальна форма навчання: відповіді МОН на поширені запитання на learning.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Індивідуальна форма навчання: відповіді МОН на поширені запитання на learning.u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73eXxSsDAABL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розробляється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основ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навчального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плану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складової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освітньої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програми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яку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використовує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Зазвичай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програма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із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працює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школа. Але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обирати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й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програму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Основна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вимога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програма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забезпечувати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виконання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стандарту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Виконання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інваріантної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частини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опанування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базових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вибірково-обов’язкових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предметів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)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плану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час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залишається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обов’язковим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Очікувані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результати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зменшуються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залишаються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одному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формами.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   8. Як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скласти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навчальний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план?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враховувати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здібності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інтереси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потреби,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мотивацію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досвід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Тому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варто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проводити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їх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оцінку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перед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складанням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lastRenderedPageBreak/>
        <w:t xml:space="preserve">самого плану.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залучати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спеціалі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психологічної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служби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 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доц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ільно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складати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кожен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навчальний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рік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враховує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потреби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переглядатися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протягом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терміну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розробляють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працівники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працюватимуть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із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учнем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педагоги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початкової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школи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вчителі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окремих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предметів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Робота над планом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відбувається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спільно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із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самим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здобувачем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брати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участь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розробці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погоджувати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Фінально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план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затверджує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керівник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9.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права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має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учень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індивідуальній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ж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як 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вчиться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інституційною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формою.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можливість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використовувати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всю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інфраструктуру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закладу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спортивну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наукову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тощо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Він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оформити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учнівський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квиток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користуватись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необхідними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ідручниками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в тому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числі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й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електронними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розраховувати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допомогу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працівників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психологічний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соц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іально-педагогічний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супровід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проходити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досягнень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та/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державну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підсумкову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атестацію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одержати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документ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   10. Як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оцінюють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учня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індивідуальній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результатів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атестація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всіма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формами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відбувається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у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школі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Форму,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змі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</w:t>
      </w:r>
      <w:proofErr w:type="spellEnd"/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спосіб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поточного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підсумкового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обирає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заклад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засоби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бути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описані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навчальному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плані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такому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випадку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працівники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дотримуватись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зазначених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Важливо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пам’ятати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лише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наявність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портфоліо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профайлу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фіксації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досягнень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(без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ідсумкового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оцінювання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та/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атестації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) не є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підставою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переведення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наступного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класу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видання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документа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11. Для кого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існують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окремо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прописан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норми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стосовно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неконтрольованих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територій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подавати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заяви про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зарахування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протягом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всього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календарного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року.</w:t>
      </w:r>
    </w:p>
    <w:p w:rsidR="00916857" w:rsidRPr="00916857" w:rsidRDefault="00916857" w:rsidP="00916857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Якщо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у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шкільному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класі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села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селища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навчається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менше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5 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для них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бути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організовано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Однак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не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виключає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можливості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використовувати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й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Засудженим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, особам </w:t>
      </w:r>
      <w:proofErr w:type="spellStart"/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ід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вартою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під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домашнім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арештом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законодавство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забезпечує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lastRenderedPageBreak/>
        <w:t xml:space="preserve">    12.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потрібно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платити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за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освіту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додаткової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оплати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боку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батьків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передбачено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Однак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не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стосується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випадків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коли оплату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послуги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вказано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відповідних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договорах.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Законодавство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передбачає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перерахування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кошті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</w:t>
      </w:r>
      <w:proofErr w:type="spellEnd"/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батькам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самостійно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організовують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своїх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дітей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ж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саме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стосується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випадків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звертаються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із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таким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завданням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сторонніх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суб’єктів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організацій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центрів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репетиторів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13.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—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коли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немає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однокласників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  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зовсім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так.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який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формою,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ільшість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часу проводить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самостійно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Але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 не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обмежує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спілкуванні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неформальному,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території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школи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може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брати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участь в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екскурсіях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практичних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заняттях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 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 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час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патронажу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вчитель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періодично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залучати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до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учнівського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колективу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метою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соціалізації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numPr>
          <w:ilvl w:val="0"/>
          <w:numId w:val="1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кілька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перебувають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лікуванні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одному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закладі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вони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навчатись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групі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14.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можуть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індивідуальній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формі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брати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участь </w:t>
      </w:r>
      <w:proofErr w:type="gram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ол</w:t>
      </w:r>
      <w:proofErr w:type="gram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імпіадах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Так,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навчаються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індивідуальній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загальних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ідставах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брати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участь в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олімпіадах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турнірах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, конкурсах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інших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змаганнях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Вони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також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 </w:t>
      </w:r>
      <w:proofErr w:type="spellStart"/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р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івні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іншими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учнями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мають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 право на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відзначення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успіхів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у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навчанні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.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Їх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нагороджувати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похвальними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листами та грамотами, 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золотою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срібною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медалями.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   15.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Інклюзивна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освіта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 —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теж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форма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індивідуальної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?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  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поняття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інклюзивної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—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набагато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ширше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для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осіб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з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особливими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освітніми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потребами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організовується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і за </w:t>
      </w:r>
      <w:proofErr w:type="gram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денною</w:t>
      </w:r>
      <w:proofErr w:type="gram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вечірньою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формами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.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Якщо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ж стан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здоров’я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вимагає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цього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учень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його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обрати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дистанційне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одну з форм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індивідуального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.</w:t>
      </w:r>
    </w:p>
    <w:p w:rsidR="00916857" w:rsidRPr="00916857" w:rsidRDefault="00916857" w:rsidP="00916857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</w:pP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   Уже </w:t>
      </w:r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з 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вересня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>цього</w:t>
      </w:r>
      <w:proofErr w:type="spellEnd"/>
      <w:r w:rsidRPr="00916857">
        <w:rPr>
          <w:rFonts w:ascii="Museo700" w:eastAsia="Times New Roman" w:hAnsi="Museo700" w:cs="Times New Roman"/>
          <w:b/>
          <w:bCs/>
          <w:color w:val="5E6977"/>
          <w:sz w:val="27"/>
          <w:szCs w:val="27"/>
          <w:bdr w:val="none" w:sz="0" w:space="0" w:color="auto" w:frame="1"/>
          <w:lang w:eastAsia="ru-RU"/>
        </w:rPr>
        <w:t xml:space="preserve"> року</w:t>
      </w:r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 батьки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школярів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можуть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скористатися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всіма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видами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індивідуальної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форми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навчання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(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сімейною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освітою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екстернатом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або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педагогічним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патронажем),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аби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забезпечити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дитині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оптимальні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умови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здобуття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освіти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,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орієнтуючись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на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її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 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індивідуальні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</w:t>
      </w:r>
      <w:proofErr w:type="spellStart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>особливості</w:t>
      </w:r>
      <w:proofErr w:type="spellEnd"/>
      <w:r w:rsidRPr="00916857">
        <w:rPr>
          <w:rFonts w:ascii="inherit" w:eastAsia="Times New Roman" w:hAnsi="inherit" w:cs="Times New Roman"/>
          <w:color w:val="5E6977"/>
          <w:sz w:val="27"/>
          <w:szCs w:val="27"/>
          <w:lang w:eastAsia="ru-RU"/>
        </w:rPr>
        <w:t xml:space="preserve"> та потреби.</w:t>
      </w: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 w:right="15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 w:right="15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 w:right="15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 w:right="15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 w:right="15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16857" w:rsidRPr="00916857" w:rsidRDefault="00916857" w:rsidP="00916857">
      <w:pPr>
        <w:numPr>
          <w:ilvl w:val="0"/>
          <w:numId w:val="15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5E6977"/>
          <w:sz w:val="20"/>
          <w:szCs w:val="20"/>
          <w:lang w:eastAsia="ru-RU"/>
        </w:rPr>
      </w:pPr>
    </w:p>
    <w:p w:rsidR="00962BB8" w:rsidRDefault="00962BB8">
      <w:bookmarkStart w:id="0" w:name="_GoBack"/>
      <w:bookmarkEnd w:id="0"/>
    </w:p>
    <w:sectPr w:rsidR="0096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seo900">
    <w:altName w:val="Times New Roman"/>
    <w:panose1 w:val="00000000000000000000"/>
    <w:charset w:val="00"/>
    <w:family w:val="roman"/>
    <w:notTrueType/>
    <w:pitch w:val="default"/>
  </w:font>
  <w:font w:name="Museo300">
    <w:altName w:val="Times New Roman"/>
    <w:panose1 w:val="00000000000000000000"/>
    <w:charset w:val="00"/>
    <w:family w:val="roman"/>
    <w:notTrueType/>
    <w:pitch w:val="default"/>
  </w:font>
  <w:font w:name="Museo500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useo7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0D8"/>
    <w:multiLevelType w:val="multilevel"/>
    <w:tmpl w:val="D85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40C03"/>
    <w:multiLevelType w:val="multilevel"/>
    <w:tmpl w:val="FDC0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37F12"/>
    <w:multiLevelType w:val="multilevel"/>
    <w:tmpl w:val="69DA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93412"/>
    <w:multiLevelType w:val="multilevel"/>
    <w:tmpl w:val="ACF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D3A70"/>
    <w:multiLevelType w:val="multilevel"/>
    <w:tmpl w:val="51E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D3EBF"/>
    <w:multiLevelType w:val="multilevel"/>
    <w:tmpl w:val="C378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27826"/>
    <w:multiLevelType w:val="multilevel"/>
    <w:tmpl w:val="173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6C24"/>
    <w:multiLevelType w:val="multilevel"/>
    <w:tmpl w:val="E960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D4385"/>
    <w:multiLevelType w:val="multilevel"/>
    <w:tmpl w:val="F356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4FFA"/>
    <w:multiLevelType w:val="multilevel"/>
    <w:tmpl w:val="E1E8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46183"/>
    <w:multiLevelType w:val="multilevel"/>
    <w:tmpl w:val="699C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03589"/>
    <w:multiLevelType w:val="multilevel"/>
    <w:tmpl w:val="E81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86990"/>
    <w:multiLevelType w:val="multilevel"/>
    <w:tmpl w:val="289C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10F69"/>
    <w:multiLevelType w:val="multilevel"/>
    <w:tmpl w:val="DC8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F743C"/>
    <w:multiLevelType w:val="multilevel"/>
    <w:tmpl w:val="FBE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F3"/>
    <w:rsid w:val="002A1EF3"/>
    <w:rsid w:val="00916857"/>
    <w:rsid w:val="009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410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547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59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1677</Words>
  <Characters>9564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2020-03-20T12:25:00Z</dcterms:created>
  <dcterms:modified xsi:type="dcterms:W3CDTF">2020-03-20T12:29:00Z</dcterms:modified>
</cp:coreProperties>
</file>