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5D" w:rsidRPr="0039335D" w:rsidRDefault="0039335D" w:rsidP="0039335D">
      <w:pPr>
        <w:shd w:val="clear" w:color="auto" w:fill="FFFFFF"/>
        <w:spacing w:line="675" w:lineRule="atLeast"/>
        <w:jc w:val="both"/>
        <w:textAlignment w:val="baseline"/>
        <w:outlineLvl w:val="0"/>
        <w:rPr>
          <w:rFonts w:ascii="Roboto" w:eastAsia="Times New Roman" w:hAnsi="Roboto" w:cs="Times New Roman"/>
          <w:b/>
          <w:bCs/>
          <w:color w:val="000000"/>
          <w:kern w:val="36"/>
          <w:sz w:val="57"/>
          <w:szCs w:val="57"/>
          <w:lang w:eastAsia="uk-UA"/>
        </w:rPr>
      </w:pPr>
      <w:bookmarkStart w:id="0" w:name="_GoBack"/>
      <w:r w:rsidRPr="0039335D">
        <w:rPr>
          <w:rFonts w:ascii="Roboto" w:eastAsia="Times New Roman" w:hAnsi="Roboto" w:cs="Times New Roman"/>
          <w:b/>
          <w:bCs/>
          <w:color w:val="000000"/>
          <w:kern w:val="36"/>
          <w:sz w:val="57"/>
          <w:szCs w:val="57"/>
          <w:lang w:eastAsia="uk-UA"/>
        </w:rPr>
        <w:t>Оцінювання результатів навчання учнів 5–9 класів НУШ</w:t>
      </w:r>
    </w:p>
    <w:bookmarkEnd w:id="0"/>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Рекомендації містять підходи до оцінювання результатів навчання учнів 5–9 класів, які здобувають освіту відповідно до Державного стандарту базової середньої освіти, затвердженого </w:t>
      </w:r>
      <w:hyperlink r:id="rId5" w:history="1">
        <w:r w:rsidRPr="0039335D">
          <w:rPr>
            <w:rFonts w:ascii="Montserrat" w:eastAsia="Times New Roman" w:hAnsi="Montserrat" w:cs="Times New Roman"/>
            <w:color w:val="0000FF"/>
            <w:sz w:val="26"/>
            <w:szCs w:val="26"/>
            <w:bdr w:val="none" w:sz="0" w:space="0" w:color="auto" w:frame="1"/>
            <w:lang w:eastAsia="uk-UA"/>
          </w:rPr>
          <w:t>постановою</w:t>
        </w:r>
      </w:hyperlink>
      <w:r w:rsidRPr="0039335D">
        <w:rPr>
          <w:rFonts w:ascii="Montserrat" w:eastAsia="Times New Roman" w:hAnsi="Montserrat" w:cs="Times New Roman"/>
          <w:color w:val="000000"/>
          <w:sz w:val="26"/>
          <w:szCs w:val="26"/>
          <w:lang w:eastAsia="uk-UA"/>
        </w:rPr>
        <w:t> Кабінету Міністрів України від 30 вересня 2020 року № 898.</w:t>
      </w:r>
    </w:p>
    <w:p w:rsidR="0039335D" w:rsidRPr="0039335D" w:rsidRDefault="0039335D" w:rsidP="0039335D">
      <w:pPr>
        <w:shd w:val="clear" w:color="auto" w:fill="FFFFFF"/>
        <w:spacing w:line="330" w:lineRule="atLeast"/>
        <w:jc w:val="both"/>
        <w:textAlignment w:val="baseline"/>
        <w:rPr>
          <w:rFonts w:ascii="Montserrat" w:eastAsia="Times New Roman" w:hAnsi="Montserrat" w:cs="Times New Roman"/>
          <w:color w:val="000000"/>
          <w:sz w:val="26"/>
          <w:szCs w:val="26"/>
          <w:lang w:eastAsia="uk-UA"/>
        </w:rPr>
      </w:pPr>
      <w:hyperlink r:id="rId6" w:history="1">
        <w:proofErr w:type="spellStart"/>
        <w:r w:rsidRPr="0039335D">
          <w:rPr>
            <w:rFonts w:ascii="Roboto" w:eastAsia="Times New Roman" w:hAnsi="Roboto" w:cs="Times New Roman"/>
            <w:caps/>
            <w:color w:val="FFFFFF"/>
            <w:sz w:val="12"/>
            <w:szCs w:val="12"/>
            <w:bdr w:val="none" w:sz="0" w:space="0" w:color="auto" w:frame="1"/>
            <w:lang w:eastAsia="uk-UA"/>
          </w:rPr>
          <w:t>PROMO</w:t>
        </w:r>
        <w:r w:rsidRPr="0039335D">
          <w:rPr>
            <w:rFonts w:ascii="Roboto" w:eastAsia="Times New Roman" w:hAnsi="Roboto" w:cs="Times New Roman"/>
            <w:b/>
            <w:bCs/>
            <w:color w:val="FFFFFF"/>
            <w:sz w:val="21"/>
            <w:szCs w:val="21"/>
            <w:bdr w:val="none" w:sz="0" w:space="0" w:color="auto" w:frame="1"/>
            <w:lang w:eastAsia="uk-UA"/>
          </w:rPr>
          <w:t>Як</w:t>
        </w:r>
        <w:proofErr w:type="spellEnd"/>
        <w:r w:rsidRPr="0039335D">
          <w:rPr>
            <w:rFonts w:ascii="Roboto" w:eastAsia="Times New Roman" w:hAnsi="Roboto" w:cs="Times New Roman"/>
            <w:b/>
            <w:bCs/>
            <w:color w:val="FFFFFF"/>
            <w:sz w:val="21"/>
            <w:szCs w:val="21"/>
            <w:bdr w:val="none" w:sz="0" w:space="0" w:color="auto" w:frame="1"/>
            <w:lang w:eastAsia="uk-UA"/>
          </w:rPr>
          <w:t xml:space="preserve"> видавництво змінило українську освіту: історія «Ранку» тривалістю 28 років</w:t>
        </w:r>
      </w:hyperlink>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Об'єктами оцінювання</w:t>
      </w:r>
      <w:r w:rsidRPr="0039335D">
        <w:rPr>
          <w:rFonts w:ascii="Montserrat" w:eastAsia="Times New Roman" w:hAnsi="Montserrat" w:cs="Times New Roman"/>
          <w:color w:val="000000"/>
          <w:sz w:val="26"/>
          <w:szCs w:val="26"/>
          <w:lang w:eastAsia="uk-UA"/>
        </w:rPr>
        <w:t> є результати навчання учнів.</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Результати навчання</w:t>
      </w:r>
      <w:r w:rsidRPr="0039335D">
        <w:rPr>
          <w:rFonts w:ascii="Montserrat" w:eastAsia="Times New Roman" w:hAnsi="Montserrat" w:cs="Times New Roman"/>
          <w:color w:val="000000"/>
          <w:sz w:val="26"/>
          <w:szCs w:val="26"/>
          <w:lang w:eastAsia="uk-UA"/>
        </w:rPr>
        <w:t> – це знання, уміння, навички, ставлення, цінності, набуті в процесі навчання, виховання та розвитку, </w:t>
      </w:r>
      <w:r w:rsidRPr="0039335D">
        <w:rPr>
          <w:rFonts w:ascii="Montserrat" w:eastAsia="Times New Roman" w:hAnsi="Montserrat" w:cs="Times New Roman"/>
          <w:i/>
          <w:iCs/>
          <w:color w:val="000000"/>
          <w:sz w:val="26"/>
          <w:szCs w:val="26"/>
          <w:bdr w:val="none" w:sz="0" w:space="0" w:color="auto" w:frame="1"/>
          <w:lang w:eastAsia="uk-UA"/>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Основні функції оцінювання:</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i/>
          <w:iCs/>
          <w:color w:val="000000"/>
          <w:sz w:val="26"/>
          <w:szCs w:val="26"/>
          <w:bdr w:val="none" w:sz="0" w:space="0" w:color="auto" w:frame="1"/>
          <w:lang w:eastAsia="uk-UA"/>
        </w:rPr>
        <w:t>формувальна</w:t>
      </w:r>
      <w:r w:rsidRPr="0039335D">
        <w:rPr>
          <w:rFonts w:ascii="Montserrat" w:eastAsia="Times New Roman" w:hAnsi="Montserrat" w:cs="Times New Roman"/>
          <w:color w:val="000000"/>
          <w:sz w:val="26"/>
          <w:szCs w:val="26"/>
          <w:lang w:eastAsia="uk-UA"/>
        </w:rPr>
        <w:t> (забезпечує відстеження динаміки навчального поступу);</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proofErr w:type="spellStart"/>
      <w:r w:rsidRPr="0039335D">
        <w:rPr>
          <w:rFonts w:ascii="Montserrat" w:eastAsia="Times New Roman" w:hAnsi="Montserrat" w:cs="Times New Roman"/>
          <w:i/>
          <w:iCs/>
          <w:color w:val="000000"/>
          <w:sz w:val="26"/>
          <w:szCs w:val="26"/>
          <w:bdr w:val="none" w:sz="0" w:space="0" w:color="auto" w:frame="1"/>
          <w:lang w:eastAsia="uk-UA"/>
        </w:rPr>
        <w:t>констатувальна</w:t>
      </w:r>
      <w:proofErr w:type="spellEnd"/>
      <w:r w:rsidRPr="0039335D">
        <w:rPr>
          <w:rFonts w:ascii="Montserrat" w:eastAsia="Times New Roman" w:hAnsi="Montserrat" w:cs="Times New Roman"/>
          <w:color w:val="000000"/>
          <w:sz w:val="26"/>
          <w:szCs w:val="26"/>
          <w:lang w:eastAsia="uk-UA"/>
        </w:rPr>
        <w:t> (забезпечує встановлення рівня досягнення результатів навчання);</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proofErr w:type="spellStart"/>
      <w:r w:rsidRPr="0039335D">
        <w:rPr>
          <w:rFonts w:ascii="Montserrat" w:eastAsia="Times New Roman" w:hAnsi="Montserrat" w:cs="Times New Roman"/>
          <w:i/>
          <w:iCs/>
          <w:color w:val="000000"/>
          <w:sz w:val="26"/>
          <w:szCs w:val="26"/>
          <w:bdr w:val="none" w:sz="0" w:space="0" w:color="auto" w:frame="1"/>
          <w:lang w:eastAsia="uk-UA"/>
        </w:rPr>
        <w:t>діагностувальна</w:t>
      </w:r>
      <w:proofErr w:type="spellEnd"/>
      <w:r w:rsidRPr="0039335D">
        <w:rPr>
          <w:rFonts w:ascii="Montserrat" w:eastAsia="Times New Roman" w:hAnsi="Montserrat" w:cs="Times New Roman"/>
          <w:i/>
          <w:iCs/>
          <w:color w:val="000000"/>
          <w:sz w:val="26"/>
          <w:szCs w:val="26"/>
          <w:bdr w:val="none" w:sz="0" w:space="0" w:color="auto" w:frame="1"/>
          <w:lang w:eastAsia="uk-UA"/>
        </w:rPr>
        <w:t> </w:t>
      </w:r>
      <w:r w:rsidRPr="0039335D">
        <w:rPr>
          <w:rFonts w:ascii="Montserrat" w:eastAsia="Times New Roman" w:hAnsi="Montserrat" w:cs="Times New Roman"/>
          <w:color w:val="000000"/>
          <w:sz w:val="26"/>
          <w:szCs w:val="26"/>
          <w:lang w:eastAsia="uk-UA"/>
        </w:rPr>
        <w:t>(надає інформацію про стан досягнення результатів навчання, наявність навчальних втрат, причини виникнення утруднень);</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i/>
          <w:iCs/>
          <w:color w:val="000000"/>
          <w:sz w:val="26"/>
          <w:szCs w:val="26"/>
          <w:bdr w:val="none" w:sz="0" w:space="0" w:color="auto" w:frame="1"/>
          <w:lang w:eastAsia="uk-UA"/>
        </w:rPr>
        <w:t>коригувальна </w:t>
      </w:r>
      <w:r w:rsidRPr="0039335D">
        <w:rPr>
          <w:rFonts w:ascii="Montserrat" w:eastAsia="Times New Roman" w:hAnsi="Montserrat" w:cs="Times New Roman"/>
          <w:color w:val="000000"/>
          <w:sz w:val="26"/>
          <w:szCs w:val="26"/>
          <w:lang w:eastAsia="uk-UA"/>
        </w:rPr>
        <w:t>(надає змогу вчителю відповідним чином адаптувати освітній процес);</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i/>
          <w:iCs/>
          <w:color w:val="000000"/>
          <w:sz w:val="26"/>
          <w:szCs w:val="26"/>
          <w:bdr w:val="none" w:sz="0" w:space="0" w:color="auto" w:frame="1"/>
          <w:lang w:eastAsia="uk-UA"/>
        </w:rPr>
        <w:t>орієнтувальна </w:t>
      </w:r>
      <w:r w:rsidRPr="0039335D">
        <w:rPr>
          <w:rFonts w:ascii="Montserrat" w:eastAsia="Times New Roman" w:hAnsi="Montserrat" w:cs="Times New Roman"/>
          <w:color w:val="000000"/>
          <w:sz w:val="26"/>
          <w:szCs w:val="26"/>
          <w:lang w:eastAsia="uk-UA"/>
        </w:rPr>
        <w:t>(надає змогу відстежити динаміку формування результатів навчання та спрогнозувати їх розвиток);</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i/>
          <w:iCs/>
          <w:color w:val="000000"/>
          <w:sz w:val="26"/>
          <w:szCs w:val="26"/>
          <w:bdr w:val="none" w:sz="0" w:space="0" w:color="auto" w:frame="1"/>
          <w:lang w:eastAsia="uk-UA"/>
        </w:rPr>
        <w:t>мотиваційно-</w:t>
      </w:r>
      <w:proofErr w:type="spellStart"/>
      <w:r w:rsidRPr="0039335D">
        <w:rPr>
          <w:rFonts w:ascii="Montserrat" w:eastAsia="Times New Roman" w:hAnsi="Montserrat" w:cs="Times New Roman"/>
          <w:i/>
          <w:iCs/>
          <w:color w:val="000000"/>
          <w:sz w:val="26"/>
          <w:szCs w:val="26"/>
          <w:bdr w:val="none" w:sz="0" w:space="0" w:color="auto" w:frame="1"/>
          <w:lang w:eastAsia="uk-UA"/>
        </w:rPr>
        <w:t>стимулювальна</w:t>
      </w:r>
      <w:proofErr w:type="spellEnd"/>
      <w:r w:rsidRPr="0039335D">
        <w:rPr>
          <w:rFonts w:ascii="Montserrat" w:eastAsia="Times New Roman" w:hAnsi="Montserrat" w:cs="Times New Roman"/>
          <w:color w:val="000000"/>
          <w:sz w:val="26"/>
          <w:szCs w:val="26"/>
          <w:lang w:eastAsia="uk-UA"/>
        </w:rPr>
        <w:t> (активізує внутрішні й зовнішні мотиви до навчання);</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i/>
          <w:iCs/>
          <w:color w:val="000000"/>
          <w:sz w:val="26"/>
          <w:szCs w:val="26"/>
          <w:bdr w:val="none" w:sz="0" w:space="0" w:color="auto" w:frame="1"/>
          <w:lang w:eastAsia="uk-UA"/>
        </w:rPr>
        <w:t>розвивальна</w:t>
      </w:r>
      <w:r w:rsidRPr="0039335D">
        <w:rPr>
          <w:rFonts w:ascii="Montserrat" w:eastAsia="Times New Roman" w:hAnsi="Montserrat" w:cs="Times New Roman"/>
          <w:color w:val="000000"/>
          <w:sz w:val="26"/>
          <w:szCs w:val="26"/>
          <w:lang w:eastAsia="uk-UA"/>
        </w:rPr>
        <w:t> (мотивує до рефлексії та самовдосконалення);</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i/>
          <w:iCs/>
          <w:color w:val="000000"/>
          <w:sz w:val="26"/>
          <w:szCs w:val="26"/>
          <w:bdr w:val="none" w:sz="0" w:space="0" w:color="auto" w:frame="1"/>
          <w:lang w:eastAsia="uk-UA"/>
        </w:rPr>
        <w:t>прогностична</w:t>
      </w:r>
      <w:r w:rsidRPr="0039335D">
        <w:rPr>
          <w:rFonts w:ascii="Montserrat" w:eastAsia="Times New Roman" w:hAnsi="Montserrat" w:cs="Times New Roman"/>
          <w:color w:val="000000"/>
          <w:sz w:val="26"/>
          <w:szCs w:val="26"/>
          <w:lang w:eastAsia="uk-UA"/>
        </w:rPr>
        <w:t> (ставить цілі навчання на майбутнє);</w:t>
      </w:r>
    </w:p>
    <w:p w:rsidR="0039335D" w:rsidRPr="0039335D" w:rsidRDefault="0039335D" w:rsidP="0039335D">
      <w:pPr>
        <w:numPr>
          <w:ilvl w:val="0"/>
          <w:numId w:val="1"/>
        </w:numPr>
        <w:shd w:val="clear" w:color="auto" w:fill="FFFFFF"/>
        <w:spacing w:after="0"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i/>
          <w:iCs/>
          <w:color w:val="000000"/>
          <w:sz w:val="26"/>
          <w:szCs w:val="26"/>
          <w:bdr w:val="none" w:sz="0" w:space="0" w:color="auto" w:frame="1"/>
          <w:lang w:eastAsia="uk-UA"/>
        </w:rPr>
        <w:t>виховна </w:t>
      </w:r>
      <w:r w:rsidRPr="0039335D">
        <w:rPr>
          <w:rFonts w:ascii="Montserrat" w:eastAsia="Times New Roman" w:hAnsi="Montserrat" w:cs="Times New Roman"/>
          <w:color w:val="000000"/>
          <w:sz w:val="26"/>
          <w:szCs w:val="26"/>
          <w:lang w:eastAsia="uk-UA"/>
        </w:rPr>
        <w:t>(сприяє вихованню в учнів свідомої дисципліни, наполегливості в роботі, працьовитості, почуття відповідальності, обов'язку).</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Основними видами оцінювання</w:t>
      </w:r>
      <w:r w:rsidRPr="0039335D">
        <w:rPr>
          <w:rFonts w:ascii="Montserrat" w:eastAsia="Times New Roman" w:hAnsi="Montserrat" w:cs="Times New Roman"/>
          <w:color w:val="000000"/>
          <w:sz w:val="26"/>
          <w:szCs w:val="26"/>
          <w:lang w:eastAsia="uk-UA"/>
        </w:rPr>
        <w:t> результатів навчання учнів є формувальне оцінювання, підсумкове оцінювання та державна підсумкова атестація.</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Формувальне оцінювання</w:t>
      </w:r>
      <w:r w:rsidRPr="0039335D">
        <w:rPr>
          <w:rFonts w:ascii="Montserrat" w:eastAsia="Times New Roman" w:hAnsi="Montserrat" w:cs="Times New Roman"/>
          <w:color w:val="000000"/>
          <w:sz w:val="26"/>
          <w:szCs w:val="26"/>
          <w:lang w:eastAsia="uk-UA"/>
        </w:rPr>
        <w:t>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Підсумкове оцінювання</w:t>
      </w:r>
      <w:r w:rsidRPr="0039335D">
        <w:rPr>
          <w:rFonts w:ascii="Montserrat" w:eastAsia="Times New Roman" w:hAnsi="Montserrat" w:cs="Times New Roman"/>
          <w:color w:val="000000"/>
          <w:sz w:val="26"/>
          <w:szCs w:val="26"/>
          <w:lang w:eastAsia="uk-UA"/>
        </w:rPr>
        <w:t> показує результат навчання та розвитку.</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Державна підсумкова атестація</w:t>
      </w:r>
      <w:r w:rsidRPr="0039335D">
        <w:rPr>
          <w:rFonts w:ascii="Montserrat" w:eastAsia="Times New Roman" w:hAnsi="Montserrat" w:cs="Times New Roman"/>
          <w:color w:val="000000"/>
          <w:sz w:val="26"/>
          <w:szCs w:val="26"/>
          <w:lang w:eastAsia="uk-UA"/>
        </w:rPr>
        <w:t>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proofErr w:type="spellStart"/>
      <w:r w:rsidRPr="0039335D">
        <w:rPr>
          <w:rFonts w:ascii="Montserrat" w:eastAsia="Times New Roman" w:hAnsi="Montserrat" w:cs="Times New Roman"/>
          <w:color w:val="000000"/>
          <w:sz w:val="26"/>
          <w:szCs w:val="26"/>
          <w:lang w:eastAsia="uk-UA"/>
        </w:rPr>
        <w:t>компетентнісного</w:t>
      </w:r>
      <w:proofErr w:type="spellEnd"/>
      <w:r w:rsidRPr="0039335D">
        <w:rPr>
          <w:rFonts w:ascii="Montserrat" w:eastAsia="Times New Roman" w:hAnsi="Montserrat" w:cs="Times New Roman"/>
          <w:color w:val="000000"/>
          <w:sz w:val="26"/>
          <w:szCs w:val="26"/>
          <w:lang w:eastAsia="uk-UA"/>
        </w:rPr>
        <w:t xml:space="preserve"> з підходу. Оцінювання дає інформацію про досягнення результатів навчання на певному етапі освітнього процесу.</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lastRenderedPageBreak/>
        <w:t>Результати оцінювання виражаються в балах (від 1 до 12) та/або в оціночних судженнях.</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Загальні критерії оцінювання</w:t>
      </w:r>
      <w:r w:rsidRPr="0039335D">
        <w:rPr>
          <w:rFonts w:ascii="Montserrat" w:eastAsia="Times New Roman" w:hAnsi="Montserrat" w:cs="Times New Roman"/>
          <w:color w:val="000000"/>
          <w:sz w:val="26"/>
          <w:szCs w:val="26"/>
          <w:lang w:eastAsia="uk-UA"/>
        </w:rPr>
        <w:t> (додаток 1) визначають загальні підходи до встановлення результатів навчання учнів і слугують основою </w:t>
      </w:r>
      <w:r w:rsidRPr="0039335D">
        <w:rPr>
          <w:rFonts w:ascii="Montserrat" w:eastAsia="Times New Roman" w:hAnsi="Montserrat" w:cs="Times New Roman"/>
          <w:b/>
          <w:bCs/>
          <w:color w:val="000000"/>
          <w:sz w:val="26"/>
          <w:szCs w:val="26"/>
          <w:bdr w:val="none" w:sz="0" w:space="0" w:color="auto" w:frame="1"/>
          <w:lang w:eastAsia="uk-UA"/>
        </w:rPr>
        <w:t>критеріїв оцінювання за освітніми галузями</w:t>
      </w:r>
      <w:r w:rsidRPr="0039335D">
        <w:rPr>
          <w:rFonts w:ascii="Montserrat" w:eastAsia="Times New Roman" w:hAnsi="Montserrat" w:cs="Times New Roman"/>
          <w:color w:val="000000"/>
          <w:sz w:val="26"/>
          <w:szCs w:val="26"/>
          <w:lang w:eastAsia="uk-UA"/>
        </w:rPr>
        <w:t> (додаток 2).</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Критерії оцінювання дають змогу здійснювати оцінювання результатів навчання у 12-бальній шкалі оцінювання.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Опис кожного </w:t>
      </w:r>
      <w:proofErr w:type="spellStart"/>
      <w:r w:rsidRPr="0039335D">
        <w:rPr>
          <w:rFonts w:ascii="Montserrat" w:eastAsia="Times New Roman" w:hAnsi="Montserrat" w:cs="Times New Roman"/>
          <w:color w:val="000000"/>
          <w:sz w:val="26"/>
          <w:szCs w:val="26"/>
          <w:lang w:eastAsia="uk-UA"/>
        </w:rPr>
        <w:t>бала</w:t>
      </w:r>
      <w:proofErr w:type="spellEnd"/>
      <w:r w:rsidRPr="0039335D">
        <w:rPr>
          <w:rFonts w:ascii="Montserrat" w:eastAsia="Times New Roman" w:hAnsi="Montserrat" w:cs="Times New Roman"/>
          <w:color w:val="000000"/>
          <w:sz w:val="26"/>
          <w:szCs w:val="26"/>
          <w:lang w:eastAsia="uk-UA"/>
        </w:rPr>
        <w:t xml:space="preserve"> шкали оцінювання подано в додатках з урахуванням структури компетентності (знання, уміння, цінності, ставлення) і наскрізних у всіх ключових </w:t>
      </w:r>
      <w:proofErr w:type="spellStart"/>
      <w:r w:rsidRPr="0039335D">
        <w:rPr>
          <w:rFonts w:ascii="Montserrat" w:eastAsia="Times New Roman" w:hAnsi="Montserrat" w:cs="Times New Roman"/>
          <w:color w:val="000000"/>
          <w:sz w:val="26"/>
          <w:szCs w:val="26"/>
          <w:lang w:eastAsia="uk-UA"/>
        </w:rPr>
        <w:t>компетентностях</w:t>
      </w:r>
      <w:proofErr w:type="spellEnd"/>
      <w:r w:rsidRPr="0039335D">
        <w:rPr>
          <w:rFonts w:ascii="Montserrat" w:eastAsia="Times New Roman" w:hAnsi="Montserrat" w:cs="Times New Roman"/>
          <w:color w:val="000000"/>
          <w:sz w:val="26"/>
          <w:szCs w:val="26"/>
          <w:lang w:eastAsia="uk-UA"/>
        </w:rPr>
        <w:t xml:space="preserve"> умінь (читання з розумінням, уміння висловлювати власну думку усно й письмово, критично й системно мислити, здатність </w:t>
      </w:r>
      <w:proofErr w:type="spellStart"/>
      <w:r w:rsidRPr="0039335D">
        <w:rPr>
          <w:rFonts w:ascii="Montserrat" w:eastAsia="Times New Roman" w:hAnsi="Montserrat" w:cs="Times New Roman"/>
          <w:color w:val="000000"/>
          <w:sz w:val="26"/>
          <w:szCs w:val="26"/>
          <w:lang w:eastAsia="uk-UA"/>
        </w:rPr>
        <w:t>логічно</w:t>
      </w:r>
      <w:proofErr w:type="spellEnd"/>
      <w:r w:rsidRPr="0039335D">
        <w:rPr>
          <w:rFonts w:ascii="Montserrat" w:eastAsia="Times New Roman" w:hAnsi="Montserrat" w:cs="Times New Roman"/>
          <w:color w:val="000000"/>
          <w:sz w:val="26"/>
          <w:szCs w:val="26"/>
          <w:lang w:eastAsia="uk-UA"/>
        </w:rPr>
        <w:t xml:space="preserve"> </w:t>
      </w:r>
      <w:proofErr w:type="spellStart"/>
      <w:r w:rsidRPr="0039335D">
        <w:rPr>
          <w:rFonts w:ascii="Montserrat" w:eastAsia="Times New Roman" w:hAnsi="Montserrat" w:cs="Times New Roman"/>
          <w:color w:val="000000"/>
          <w:sz w:val="26"/>
          <w:szCs w:val="26"/>
          <w:lang w:eastAsia="uk-UA"/>
        </w:rPr>
        <w:t>обгрунтовувати</w:t>
      </w:r>
      <w:proofErr w:type="spellEnd"/>
      <w:r w:rsidRPr="0039335D">
        <w:rPr>
          <w:rFonts w:ascii="Montserrat" w:eastAsia="Times New Roman" w:hAnsi="Montserrat" w:cs="Times New Roman"/>
          <w:color w:val="000000"/>
          <w:sz w:val="26"/>
          <w:szCs w:val="26"/>
          <w:lang w:eastAsia="uk-UA"/>
        </w:rPr>
        <w:t xml:space="preserve"> позицію, вміння </w:t>
      </w:r>
      <w:proofErr w:type="spellStart"/>
      <w:r w:rsidRPr="0039335D">
        <w:rPr>
          <w:rFonts w:ascii="Montserrat" w:eastAsia="Times New Roman" w:hAnsi="Montserrat" w:cs="Times New Roman"/>
          <w:color w:val="000000"/>
          <w:sz w:val="26"/>
          <w:szCs w:val="26"/>
          <w:lang w:eastAsia="uk-UA"/>
        </w:rPr>
        <w:t>конструктивно</w:t>
      </w:r>
      <w:proofErr w:type="spellEnd"/>
      <w:r w:rsidRPr="0039335D">
        <w:rPr>
          <w:rFonts w:ascii="Montserrat" w:eastAsia="Times New Roman" w:hAnsi="Montserrat" w:cs="Times New Roman"/>
          <w:color w:val="000000"/>
          <w:sz w:val="26"/>
          <w:szCs w:val="26"/>
          <w:lang w:eastAsia="uk-UA"/>
        </w:rPr>
        <w:t xml:space="preserve"> керувати емоціями, оцінювати ризики, ухвалювати рішення, розв'язувати проблеми, творчість, ініціативність, здатність співпрацювати з іншими людьми).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За вибором закладу освіти оцінювання може здійснюватися за власною шкалою оцінювання результатів навчання учнів. У разі запровадження закладом освіти власної шкали оцінювання результатів навчання учнів ним мають бути визначені правила переведення до 12-бальної шкали оцінювання.</w:t>
      </w:r>
    </w:p>
    <w:p w:rsidR="0039335D" w:rsidRPr="0039335D" w:rsidRDefault="0039335D" w:rsidP="0039335D">
      <w:pPr>
        <w:shd w:val="clear" w:color="auto" w:fill="FFFFFF"/>
        <w:spacing w:after="0" w:line="435" w:lineRule="atLeast"/>
        <w:jc w:val="both"/>
        <w:textAlignment w:val="baseline"/>
        <w:outlineLvl w:val="1"/>
        <w:rPr>
          <w:rFonts w:ascii="Roboto" w:eastAsia="Times New Roman" w:hAnsi="Roboto" w:cs="Times New Roman"/>
          <w:b/>
          <w:bCs/>
          <w:color w:val="000000"/>
          <w:sz w:val="38"/>
          <w:szCs w:val="38"/>
          <w:lang w:eastAsia="uk-UA"/>
        </w:rPr>
      </w:pPr>
      <w:r w:rsidRPr="0039335D">
        <w:rPr>
          <w:rFonts w:ascii="Roboto" w:eastAsia="Times New Roman" w:hAnsi="Roboto" w:cs="Times New Roman"/>
          <w:b/>
          <w:bCs/>
          <w:color w:val="000000"/>
          <w:sz w:val="38"/>
          <w:szCs w:val="38"/>
          <w:bdr w:val="none" w:sz="0" w:space="0" w:color="auto" w:frame="1"/>
          <w:lang w:eastAsia="uk-UA"/>
        </w:rPr>
        <w:t>Правила і процедури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Оцінювання може здійснюватися як у процесі навчання (поточне), так і на різних його етапах (підсумкове).</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Під час організації оцінювання результатів навчання здобувачів освіти рекомендуємо:</w:t>
      </w:r>
    </w:p>
    <w:p w:rsidR="0039335D" w:rsidRPr="0039335D" w:rsidRDefault="0039335D" w:rsidP="0039335D">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визначати форми поточного і підсумкового оцінювання під час планування освітнього процесу на семестр;</w:t>
      </w:r>
    </w:p>
    <w:p w:rsidR="0039335D" w:rsidRPr="0039335D" w:rsidRDefault="0039335D" w:rsidP="0039335D">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формулювати об'єктивні та зрозумілі для учнів навчальні цілі; основою для формулювання таких навчальних цілей є обов'язкові / очікувані результати навчання, визначені Державним стандартом / відповідними модельними навчальними програмами;</w:t>
      </w:r>
    </w:p>
    <w:p w:rsidR="0039335D" w:rsidRPr="0039335D" w:rsidRDefault="0039335D" w:rsidP="0039335D">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ознайомлювати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w:t>
      </w:r>
    </w:p>
    <w:p w:rsidR="0039335D" w:rsidRPr="0039335D" w:rsidRDefault="0039335D" w:rsidP="0039335D">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lastRenderedPageBreak/>
        <w:t>надавати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w:t>
      </w:r>
    </w:p>
    <w:p w:rsidR="0039335D" w:rsidRPr="0039335D" w:rsidRDefault="0039335D" w:rsidP="0039335D">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створювати умови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39335D">
        <w:rPr>
          <w:rFonts w:ascii="Montserrat" w:eastAsia="Times New Roman" w:hAnsi="Montserrat" w:cs="Times New Roman"/>
          <w:color w:val="000000"/>
          <w:sz w:val="26"/>
          <w:szCs w:val="26"/>
          <w:lang w:eastAsia="uk-UA"/>
        </w:rPr>
        <w:t>самооцінювання</w:t>
      </w:r>
      <w:proofErr w:type="spellEnd"/>
      <w:r w:rsidRPr="0039335D">
        <w:rPr>
          <w:rFonts w:ascii="Montserrat" w:eastAsia="Times New Roman" w:hAnsi="Montserrat" w:cs="Times New Roman"/>
          <w:color w:val="000000"/>
          <w:sz w:val="26"/>
          <w:szCs w:val="26"/>
          <w:lang w:eastAsia="uk-UA"/>
        </w:rPr>
        <w:t xml:space="preserve"> та </w:t>
      </w:r>
      <w:proofErr w:type="spellStart"/>
      <w:r w:rsidRPr="0039335D">
        <w:rPr>
          <w:rFonts w:ascii="Montserrat" w:eastAsia="Times New Roman" w:hAnsi="Montserrat" w:cs="Times New Roman"/>
          <w:color w:val="000000"/>
          <w:sz w:val="26"/>
          <w:szCs w:val="26"/>
          <w:lang w:eastAsia="uk-UA"/>
        </w:rPr>
        <w:t>взаємооцінювання</w:t>
      </w:r>
      <w:proofErr w:type="spellEnd"/>
      <w:r w:rsidRPr="0039335D">
        <w:rPr>
          <w:rFonts w:ascii="Montserrat" w:eastAsia="Times New Roman" w:hAnsi="Montserrat" w:cs="Times New Roman"/>
          <w:color w:val="000000"/>
          <w:sz w:val="26"/>
          <w:szCs w:val="26"/>
          <w:lang w:eastAsia="uk-UA"/>
        </w:rPr>
        <w:t>, та спільне визначення подальших кроків для покращення результатів навчання;</w:t>
      </w:r>
    </w:p>
    <w:p w:rsidR="0039335D" w:rsidRPr="0039335D" w:rsidRDefault="0039335D" w:rsidP="0039335D">
      <w:pPr>
        <w:numPr>
          <w:ilvl w:val="0"/>
          <w:numId w:val="2"/>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коригувати освітній процес з урахуванням результатів оцінювання та навчальних потреб учнів.</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усного опитування (індивідуальне, групове тощо);</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спостереження;</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аналіз портфоліо;</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письмових завдань (окремі навчальні завдання, зокрема тестові з використанням ІТ, перекази, диктанти тощо, а також </w:t>
      </w:r>
      <w:proofErr w:type="spellStart"/>
      <w:r w:rsidRPr="0039335D">
        <w:rPr>
          <w:rFonts w:ascii="Montserrat" w:eastAsia="Times New Roman" w:hAnsi="Montserrat" w:cs="Times New Roman"/>
          <w:color w:val="000000"/>
          <w:sz w:val="26"/>
          <w:szCs w:val="26"/>
          <w:lang w:eastAsia="uk-UA"/>
        </w:rPr>
        <w:t>діагностувальні</w:t>
      </w:r>
      <w:proofErr w:type="spellEnd"/>
      <w:r w:rsidRPr="0039335D">
        <w:rPr>
          <w:rFonts w:ascii="Montserrat" w:eastAsia="Times New Roman" w:hAnsi="Montserrat" w:cs="Times New Roman"/>
          <w:color w:val="000000"/>
          <w:sz w:val="26"/>
          <w:szCs w:val="26"/>
          <w:lang w:eastAsia="uk-UA"/>
        </w:rPr>
        <w:t>, підсумкові роботи);</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практичних завдань (завдання на лабораторному обладнанні, реальних об'єктах; розрахункові та розрахунково-графічні роботи; навчальний </w:t>
      </w:r>
      <w:proofErr w:type="spellStart"/>
      <w:r w:rsidRPr="0039335D">
        <w:rPr>
          <w:rFonts w:ascii="Montserrat" w:eastAsia="Times New Roman" w:hAnsi="Montserrat" w:cs="Times New Roman"/>
          <w:color w:val="000000"/>
          <w:sz w:val="26"/>
          <w:szCs w:val="26"/>
          <w:lang w:eastAsia="uk-UA"/>
        </w:rPr>
        <w:t>проєкт</w:t>
      </w:r>
      <w:proofErr w:type="spellEnd"/>
      <w:r w:rsidRPr="0039335D">
        <w:rPr>
          <w:rFonts w:ascii="Montserrat" w:eastAsia="Times New Roman" w:hAnsi="Montserrat" w:cs="Times New Roman"/>
          <w:color w:val="000000"/>
          <w:sz w:val="26"/>
          <w:szCs w:val="26"/>
          <w:lang w:eastAsia="uk-UA"/>
        </w:rPr>
        <w:t>;</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робота з картами, діаграмами; заповнення таблиць, побудова схем, моделей, зокрема з використанням електронних засобів навчання тощо);</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завдань із використанням ІТ (онлайн-тести, презентації результатів виконаних завдань та досліджень, комп'ютерні продукти тощо);</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proofErr w:type="spellStart"/>
      <w:r w:rsidRPr="0039335D">
        <w:rPr>
          <w:rFonts w:ascii="Montserrat" w:eastAsia="Times New Roman" w:hAnsi="Montserrat" w:cs="Times New Roman"/>
          <w:color w:val="000000"/>
          <w:sz w:val="26"/>
          <w:szCs w:val="26"/>
          <w:lang w:eastAsia="uk-UA"/>
        </w:rPr>
        <w:t>самооцінювання</w:t>
      </w:r>
      <w:proofErr w:type="spellEnd"/>
      <w:r w:rsidRPr="0039335D">
        <w:rPr>
          <w:rFonts w:ascii="Montserrat" w:eastAsia="Times New Roman" w:hAnsi="Montserrat" w:cs="Times New Roman"/>
          <w:color w:val="000000"/>
          <w:sz w:val="26"/>
          <w:szCs w:val="26"/>
          <w:lang w:eastAsia="uk-UA"/>
        </w:rPr>
        <w:t xml:space="preserve">, </w:t>
      </w:r>
      <w:proofErr w:type="spellStart"/>
      <w:r w:rsidRPr="0039335D">
        <w:rPr>
          <w:rFonts w:ascii="Montserrat" w:eastAsia="Times New Roman" w:hAnsi="Montserrat" w:cs="Times New Roman"/>
          <w:color w:val="000000"/>
          <w:sz w:val="26"/>
          <w:szCs w:val="26"/>
          <w:lang w:eastAsia="uk-UA"/>
        </w:rPr>
        <w:t>взаємооцінювання</w:t>
      </w:r>
      <w:proofErr w:type="spellEnd"/>
      <w:r w:rsidRPr="0039335D">
        <w:rPr>
          <w:rFonts w:ascii="Montserrat" w:eastAsia="Times New Roman" w:hAnsi="Montserrat" w:cs="Times New Roman"/>
          <w:color w:val="000000"/>
          <w:sz w:val="26"/>
          <w:szCs w:val="26"/>
          <w:lang w:eastAsia="uk-UA"/>
        </w:rPr>
        <w:t>;</w:t>
      </w:r>
    </w:p>
    <w:p w:rsidR="0039335D" w:rsidRPr="0039335D" w:rsidRDefault="0039335D" w:rsidP="0039335D">
      <w:pPr>
        <w:numPr>
          <w:ilvl w:val="0"/>
          <w:numId w:val="3"/>
        </w:numPr>
        <w:shd w:val="clear" w:color="auto" w:fill="FFFFFF"/>
        <w:spacing w:after="225" w:line="332" w:lineRule="atLeast"/>
        <w:ind w:left="315"/>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комплексного, що поєднує різні способи й засоби оцінювання.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Оцінювання здійснюється із застосуванням завдань різних когнітивних рівнів: на відтворення звань, на розуміння, на застосування в стандартних і змінених навчальних ситуаціях, уміння висловлювати власні судження, ставлення тощо.</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lastRenderedPageBreak/>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До оцінювання наскрізних умінь може долучатися шкільний психолог.</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39335D">
        <w:rPr>
          <w:rFonts w:ascii="Montserrat" w:eastAsia="Times New Roman" w:hAnsi="Montserrat" w:cs="Times New Roman"/>
          <w:color w:val="000000"/>
          <w:sz w:val="26"/>
          <w:szCs w:val="26"/>
          <w:lang w:eastAsia="uk-UA"/>
        </w:rPr>
        <w:t>відеоконференц</w:t>
      </w:r>
      <w:proofErr w:type="spellEnd"/>
      <w:r w:rsidRPr="0039335D">
        <w:rPr>
          <w:rFonts w:ascii="Montserrat" w:eastAsia="Times New Roman" w:hAnsi="Montserrat" w:cs="Times New Roman"/>
          <w:color w:val="000000"/>
          <w:sz w:val="26"/>
          <w:szCs w:val="26"/>
          <w:lang w:eastAsia="uk-UA"/>
        </w:rPr>
        <w:t>-зв'язку.</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39335D" w:rsidRPr="0039335D" w:rsidRDefault="0039335D" w:rsidP="0039335D">
      <w:pPr>
        <w:shd w:val="clear" w:color="auto" w:fill="FFFFFF"/>
        <w:spacing w:after="0" w:line="435" w:lineRule="atLeast"/>
        <w:jc w:val="both"/>
        <w:textAlignment w:val="baseline"/>
        <w:outlineLvl w:val="1"/>
        <w:rPr>
          <w:rFonts w:ascii="Roboto" w:eastAsia="Times New Roman" w:hAnsi="Roboto" w:cs="Times New Roman"/>
          <w:b/>
          <w:bCs/>
          <w:color w:val="000000"/>
          <w:sz w:val="38"/>
          <w:szCs w:val="38"/>
          <w:lang w:eastAsia="uk-UA"/>
        </w:rPr>
      </w:pPr>
      <w:r w:rsidRPr="0039335D">
        <w:rPr>
          <w:rFonts w:ascii="Roboto" w:eastAsia="Times New Roman" w:hAnsi="Roboto" w:cs="Times New Roman"/>
          <w:b/>
          <w:bCs/>
          <w:color w:val="000000"/>
          <w:sz w:val="38"/>
          <w:szCs w:val="38"/>
          <w:bdr w:val="none" w:sz="0" w:space="0" w:color="auto" w:frame="1"/>
          <w:lang w:eastAsia="uk-UA"/>
        </w:rPr>
        <w:t>Формувальне оцінювання</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Формувальне оцінювання</w:t>
      </w:r>
      <w:r w:rsidRPr="0039335D">
        <w:rPr>
          <w:rFonts w:ascii="Montserrat" w:eastAsia="Times New Roman" w:hAnsi="Montserrat" w:cs="Times New Roman"/>
          <w:color w:val="000000"/>
          <w:sz w:val="26"/>
          <w:szCs w:val="26"/>
          <w:lang w:eastAsia="uk-UA"/>
        </w:rPr>
        <w:t> – інтерактивне оцінювання учнівського прогресу, що дає змогу вчителям визначати потреби учнів, адаптуючи до них процес навчання.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Формувальне оцінювання результатів навчання учнів / учениць виконує </w:t>
      </w:r>
      <w:proofErr w:type="spellStart"/>
      <w:r w:rsidRPr="0039335D">
        <w:rPr>
          <w:rFonts w:ascii="Montserrat" w:eastAsia="Times New Roman" w:hAnsi="Montserrat" w:cs="Times New Roman"/>
          <w:color w:val="000000"/>
          <w:sz w:val="26"/>
          <w:szCs w:val="26"/>
          <w:lang w:eastAsia="uk-UA"/>
        </w:rPr>
        <w:t>діагностувальну</w:t>
      </w:r>
      <w:proofErr w:type="spellEnd"/>
      <w:r w:rsidRPr="0039335D">
        <w:rPr>
          <w:rFonts w:ascii="Montserrat" w:eastAsia="Times New Roman" w:hAnsi="Montserrat" w:cs="Times New Roman"/>
          <w:color w:val="000000"/>
          <w:sz w:val="26"/>
          <w:szCs w:val="26"/>
          <w:lang w:eastAsia="uk-UA"/>
        </w:rPr>
        <w:t>, коригувальну, орієнтувальну, мотиваційно-</w:t>
      </w:r>
      <w:proofErr w:type="spellStart"/>
      <w:r w:rsidRPr="0039335D">
        <w:rPr>
          <w:rFonts w:ascii="Montserrat" w:eastAsia="Times New Roman" w:hAnsi="Montserrat" w:cs="Times New Roman"/>
          <w:color w:val="000000"/>
          <w:sz w:val="26"/>
          <w:szCs w:val="26"/>
          <w:lang w:eastAsia="uk-UA"/>
        </w:rPr>
        <w:t>стимулювальну</w:t>
      </w:r>
      <w:proofErr w:type="spellEnd"/>
      <w:r w:rsidRPr="0039335D">
        <w:rPr>
          <w:rFonts w:ascii="Montserrat" w:eastAsia="Times New Roman" w:hAnsi="Montserrat" w:cs="Times New Roman"/>
          <w:color w:val="000000"/>
          <w:sz w:val="26"/>
          <w:szCs w:val="26"/>
          <w:lang w:eastAsia="uk-UA"/>
        </w:rPr>
        <w:t>, розвивальну, прогностичну та виховну функції.</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Формувальне оцінювання (оцінювання в процесі навчання) є важливим складником освітнього процесу, оскільки воно відображає як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w:t>
      </w:r>
      <w:r w:rsidRPr="0039335D">
        <w:rPr>
          <w:rFonts w:ascii="Montserrat" w:eastAsia="Times New Roman" w:hAnsi="Montserrat" w:cs="Times New Roman"/>
          <w:color w:val="000000"/>
          <w:sz w:val="26"/>
          <w:szCs w:val="26"/>
          <w:lang w:eastAsia="uk-UA"/>
        </w:rPr>
        <w:lastRenderedPageBreak/>
        <w:t>зрозуміти, як краще підготувати учнів / учениць до підсумкового оцінювання та відслідковувати їхній прогрес протягом навчального року.</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w:t>
      </w:r>
      <w:proofErr w:type="spellStart"/>
      <w:r w:rsidRPr="0039335D">
        <w:rPr>
          <w:rFonts w:ascii="Montserrat" w:eastAsia="Times New Roman" w:hAnsi="Montserrat" w:cs="Times New Roman"/>
          <w:color w:val="000000"/>
          <w:sz w:val="26"/>
          <w:szCs w:val="26"/>
          <w:lang w:eastAsia="uk-UA"/>
        </w:rPr>
        <w:t>самооцінювання</w:t>
      </w:r>
      <w:proofErr w:type="spellEnd"/>
      <w:r w:rsidRPr="0039335D">
        <w:rPr>
          <w:rFonts w:ascii="Montserrat" w:eastAsia="Times New Roman" w:hAnsi="Montserrat" w:cs="Times New Roman"/>
          <w:color w:val="000000"/>
          <w:sz w:val="26"/>
          <w:szCs w:val="26"/>
          <w:lang w:eastAsia="uk-UA"/>
        </w:rPr>
        <w:t xml:space="preserve">, </w:t>
      </w:r>
      <w:proofErr w:type="spellStart"/>
      <w:r w:rsidRPr="0039335D">
        <w:rPr>
          <w:rFonts w:ascii="Montserrat" w:eastAsia="Times New Roman" w:hAnsi="Montserrat" w:cs="Times New Roman"/>
          <w:color w:val="000000"/>
          <w:sz w:val="26"/>
          <w:szCs w:val="26"/>
          <w:lang w:eastAsia="uk-UA"/>
        </w:rPr>
        <w:t>взаємооцінювання</w:t>
      </w:r>
      <w:proofErr w:type="spellEnd"/>
      <w:r w:rsidRPr="0039335D">
        <w:rPr>
          <w:rFonts w:ascii="Montserrat" w:eastAsia="Times New Roman" w:hAnsi="Montserrat" w:cs="Times New Roman"/>
          <w:color w:val="000000"/>
          <w:sz w:val="26"/>
          <w:szCs w:val="26"/>
          <w:lang w:eastAsia="uk-UA"/>
        </w:rPr>
        <w:t>,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Окремі - завдання з для з формувального -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rsidR="0039335D" w:rsidRPr="0039335D" w:rsidRDefault="0039335D" w:rsidP="0039335D">
      <w:pPr>
        <w:shd w:val="clear" w:color="auto" w:fill="FFFFFF"/>
        <w:spacing w:after="0" w:line="435" w:lineRule="atLeast"/>
        <w:jc w:val="both"/>
        <w:textAlignment w:val="baseline"/>
        <w:outlineLvl w:val="1"/>
        <w:rPr>
          <w:rFonts w:ascii="Roboto" w:eastAsia="Times New Roman" w:hAnsi="Roboto" w:cs="Times New Roman"/>
          <w:b/>
          <w:bCs/>
          <w:color w:val="000000"/>
          <w:sz w:val="38"/>
          <w:szCs w:val="38"/>
          <w:lang w:eastAsia="uk-UA"/>
        </w:rPr>
      </w:pPr>
      <w:r w:rsidRPr="0039335D">
        <w:rPr>
          <w:rFonts w:ascii="Roboto" w:eastAsia="Times New Roman" w:hAnsi="Roboto" w:cs="Times New Roman"/>
          <w:b/>
          <w:bCs/>
          <w:color w:val="000000"/>
          <w:sz w:val="38"/>
          <w:szCs w:val="38"/>
          <w:bdr w:val="none" w:sz="0" w:space="0" w:color="auto" w:frame="1"/>
          <w:lang w:eastAsia="uk-UA"/>
        </w:rPr>
        <w:t>Підсумкове оцінювання</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Метою </w:t>
      </w:r>
      <w:r w:rsidRPr="0039335D">
        <w:rPr>
          <w:rFonts w:ascii="Montserrat" w:eastAsia="Times New Roman" w:hAnsi="Montserrat" w:cs="Times New Roman"/>
          <w:b/>
          <w:bCs/>
          <w:color w:val="000000"/>
          <w:sz w:val="26"/>
          <w:szCs w:val="26"/>
          <w:bdr w:val="none" w:sz="0" w:space="0" w:color="auto" w:frame="1"/>
          <w:lang w:eastAsia="uk-UA"/>
        </w:rPr>
        <w:t>підсумкового оцінювання</w:t>
      </w:r>
      <w:r w:rsidRPr="0039335D">
        <w:rPr>
          <w:rFonts w:ascii="Montserrat" w:eastAsia="Times New Roman" w:hAnsi="Montserrat" w:cs="Times New Roman"/>
          <w:color w:val="000000"/>
          <w:sz w:val="26"/>
          <w:szCs w:val="26"/>
          <w:lang w:eastAsia="uk-UA"/>
        </w:rPr>
        <w:t> є співвіднесення фактичних результатів навчання, яких досягли здобувачі освіти, з обов'язковими / очікуваними результатами навчання, визначеними Державним стандартом / модельною навчальною програмою за певний період навчання.</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i/>
          <w:iCs/>
          <w:color w:val="000000"/>
          <w:sz w:val="26"/>
          <w:szCs w:val="26"/>
          <w:bdr w:val="none" w:sz="0" w:space="0" w:color="auto" w:frame="1"/>
          <w:lang w:eastAsia="uk-UA"/>
        </w:rPr>
        <w:lastRenderedPageBreak/>
        <w:t>Підсумкове оцінювання</w:t>
      </w:r>
      <w:r w:rsidRPr="0039335D">
        <w:rPr>
          <w:rFonts w:ascii="Montserrat" w:eastAsia="Times New Roman" w:hAnsi="Montserrat" w:cs="Times New Roman"/>
          <w:b/>
          <w:bCs/>
          <w:color w:val="000000"/>
          <w:sz w:val="26"/>
          <w:szCs w:val="26"/>
          <w:bdr w:val="none" w:sz="0" w:space="0" w:color="auto" w:frame="1"/>
          <w:lang w:eastAsia="uk-UA"/>
        </w:rPr>
        <w:t> за</w:t>
      </w:r>
      <w:r w:rsidRPr="0039335D">
        <w:rPr>
          <w:rFonts w:ascii="Montserrat" w:eastAsia="Times New Roman" w:hAnsi="Montserrat" w:cs="Times New Roman"/>
          <w:color w:val="000000"/>
          <w:sz w:val="26"/>
          <w:szCs w:val="26"/>
          <w:lang w:eastAsia="uk-UA"/>
        </w:rPr>
        <w:t> </w:t>
      </w:r>
      <w:r w:rsidRPr="0039335D">
        <w:rPr>
          <w:rFonts w:ascii="Montserrat" w:eastAsia="Times New Roman" w:hAnsi="Montserrat" w:cs="Times New Roman"/>
          <w:b/>
          <w:bCs/>
          <w:color w:val="000000"/>
          <w:sz w:val="26"/>
          <w:szCs w:val="26"/>
          <w:bdr w:val="none" w:sz="0" w:space="0" w:color="auto" w:frame="1"/>
          <w:lang w:eastAsia="uk-UA"/>
        </w:rPr>
        <w:t>семестр</w:t>
      </w:r>
      <w:r w:rsidRPr="0039335D">
        <w:rPr>
          <w:rFonts w:ascii="Montserrat" w:eastAsia="Times New Roman" w:hAnsi="Montserrat" w:cs="Times New Roman"/>
          <w:color w:val="000000"/>
          <w:sz w:val="26"/>
          <w:szCs w:val="26"/>
          <w:lang w:eastAsia="uk-UA"/>
        </w:rPr>
        <w:t> здійснюють за групами результатів навчання, що передбачені Критеріями оцінювання за освітніми галузями (додаток 2), з урахуванням різних форм і видів навчальної діяльності.</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Для формування висновків щодо рівня досягнення обов'язкових результатів навчання за семестр учитель /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У Свідоцтві досягнень виставляють </w:t>
      </w:r>
      <w:r w:rsidRPr="0039335D">
        <w:rPr>
          <w:rFonts w:ascii="Montserrat" w:eastAsia="Times New Roman" w:hAnsi="Montserrat" w:cs="Times New Roman"/>
          <w:b/>
          <w:bCs/>
          <w:color w:val="000000"/>
          <w:sz w:val="26"/>
          <w:szCs w:val="26"/>
          <w:bdr w:val="none" w:sz="0" w:space="0" w:color="auto" w:frame="1"/>
          <w:lang w:eastAsia="uk-UA"/>
        </w:rPr>
        <w:t>семестрові оцінки за групами</w:t>
      </w:r>
      <w:r w:rsidRPr="0039335D">
        <w:rPr>
          <w:rFonts w:ascii="Montserrat" w:eastAsia="Times New Roman" w:hAnsi="Montserrat" w:cs="Times New Roman"/>
          <w:color w:val="000000"/>
          <w:sz w:val="26"/>
          <w:szCs w:val="26"/>
          <w:lang w:eastAsia="uk-UA"/>
        </w:rPr>
        <w:t> </w:t>
      </w:r>
      <w:r w:rsidRPr="0039335D">
        <w:rPr>
          <w:rFonts w:ascii="Montserrat" w:eastAsia="Times New Roman" w:hAnsi="Montserrat" w:cs="Times New Roman"/>
          <w:b/>
          <w:bCs/>
          <w:color w:val="000000"/>
          <w:sz w:val="26"/>
          <w:szCs w:val="26"/>
          <w:bdr w:val="none" w:sz="0" w:space="0" w:color="auto" w:frame="1"/>
          <w:lang w:eastAsia="uk-UA"/>
        </w:rPr>
        <w:t>результатів</w:t>
      </w:r>
      <w:r w:rsidRPr="0039335D">
        <w:rPr>
          <w:rFonts w:ascii="Montserrat" w:eastAsia="Times New Roman" w:hAnsi="Montserrat" w:cs="Times New Roman"/>
          <w:color w:val="000000"/>
          <w:sz w:val="26"/>
          <w:szCs w:val="26"/>
          <w:lang w:eastAsia="uk-UA"/>
        </w:rPr>
        <w:t>. На підставі оцінок за групами результатів виставляють </w:t>
      </w:r>
      <w:r w:rsidRPr="0039335D">
        <w:rPr>
          <w:rFonts w:ascii="Montserrat" w:eastAsia="Times New Roman" w:hAnsi="Montserrat" w:cs="Times New Roman"/>
          <w:b/>
          <w:bCs/>
          <w:color w:val="000000"/>
          <w:sz w:val="26"/>
          <w:szCs w:val="26"/>
          <w:bdr w:val="none" w:sz="0" w:space="0" w:color="auto" w:frame="1"/>
          <w:lang w:eastAsia="uk-UA"/>
        </w:rPr>
        <w:t>загальну</w:t>
      </w:r>
      <w:r w:rsidRPr="0039335D">
        <w:rPr>
          <w:rFonts w:ascii="Montserrat" w:eastAsia="Times New Roman" w:hAnsi="Montserrat" w:cs="Times New Roman"/>
          <w:color w:val="000000"/>
          <w:sz w:val="26"/>
          <w:szCs w:val="26"/>
          <w:lang w:eastAsia="uk-UA"/>
        </w:rPr>
        <w:t> </w:t>
      </w:r>
      <w:r w:rsidRPr="0039335D">
        <w:rPr>
          <w:rFonts w:ascii="Montserrat" w:eastAsia="Times New Roman" w:hAnsi="Montserrat" w:cs="Times New Roman"/>
          <w:b/>
          <w:bCs/>
          <w:color w:val="000000"/>
          <w:sz w:val="26"/>
          <w:szCs w:val="26"/>
          <w:bdr w:val="none" w:sz="0" w:space="0" w:color="auto" w:frame="1"/>
          <w:lang w:eastAsia="uk-UA"/>
        </w:rPr>
        <w:t>оцінку за семестр</w:t>
      </w:r>
      <w:r w:rsidRPr="0039335D">
        <w:rPr>
          <w:rFonts w:ascii="Montserrat" w:eastAsia="Times New Roman" w:hAnsi="Montserrat" w:cs="Times New Roman"/>
          <w:color w:val="000000"/>
          <w:sz w:val="26"/>
          <w:szCs w:val="26"/>
          <w:lang w:eastAsia="uk-UA"/>
        </w:rPr>
        <w:t> з кожного навчального предмета / інтегрованого курсу навчального плану освітньої програми закладу освіти.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Оцінка за семестр може бути скоригованою.</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Підсумкове оцінювання за рік не здійснюють</w:t>
      </w:r>
      <w:r w:rsidRPr="0039335D">
        <w:rPr>
          <w:rFonts w:ascii="Montserrat" w:eastAsia="Times New Roman" w:hAnsi="Montserrat" w:cs="Times New Roman"/>
          <w:color w:val="000000"/>
          <w:sz w:val="26"/>
          <w:szCs w:val="26"/>
          <w:lang w:eastAsia="uk-UA"/>
        </w:rPr>
        <w:t>.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 учениці протягом року.</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Річне оцінювання також може бути скоригованим.</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39335D" w:rsidRPr="0039335D" w:rsidRDefault="0039335D" w:rsidP="0039335D">
      <w:pPr>
        <w:shd w:val="clear" w:color="auto" w:fill="FFFFFF"/>
        <w:spacing w:after="0" w:line="435" w:lineRule="atLeast"/>
        <w:jc w:val="both"/>
        <w:textAlignment w:val="baseline"/>
        <w:outlineLvl w:val="1"/>
        <w:rPr>
          <w:rFonts w:ascii="Roboto" w:eastAsia="Times New Roman" w:hAnsi="Roboto" w:cs="Times New Roman"/>
          <w:b/>
          <w:bCs/>
          <w:color w:val="000000"/>
          <w:sz w:val="38"/>
          <w:szCs w:val="38"/>
          <w:lang w:eastAsia="uk-UA"/>
        </w:rPr>
      </w:pPr>
      <w:r w:rsidRPr="0039335D">
        <w:rPr>
          <w:rFonts w:ascii="Roboto" w:eastAsia="Times New Roman" w:hAnsi="Roboto" w:cs="Times New Roman"/>
          <w:b/>
          <w:bCs/>
          <w:color w:val="000000"/>
          <w:sz w:val="38"/>
          <w:szCs w:val="38"/>
          <w:bdr w:val="none" w:sz="0" w:space="0" w:color="auto" w:frame="1"/>
          <w:lang w:eastAsia="uk-UA"/>
        </w:rPr>
        <w:t>Свідоцтво досягнень</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Свідоцтво досягнень</w:t>
      </w:r>
      <w:r w:rsidRPr="0039335D">
        <w:rPr>
          <w:rFonts w:ascii="Montserrat" w:eastAsia="Times New Roman" w:hAnsi="Montserrat" w:cs="Times New Roman"/>
          <w:color w:val="000000"/>
          <w:sz w:val="26"/>
          <w:szCs w:val="26"/>
          <w:lang w:eastAsia="uk-UA"/>
        </w:rPr>
        <w:t> (</w:t>
      </w:r>
      <w:hyperlink r:id="rId7" w:history="1">
        <w:r w:rsidRPr="0039335D">
          <w:rPr>
            <w:rFonts w:ascii="Montserrat" w:eastAsia="Times New Roman" w:hAnsi="Montserrat" w:cs="Times New Roman"/>
            <w:color w:val="0000FF"/>
            <w:sz w:val="26"/>
            <w:szCs w:val="26"/>
            <w:bdr w:val="none" w:sz="0" w:space="0" w:color="auto" w:frame="1"/>
            <w:lang w:eastAsia="uk-UA"/>
          </w:rPr>
          <w:t>додаток 3</w:t>
        </w:r>
      </w:hyperlink>
      <w:r w:rsidRPr="0039335D">
        <w:rPr>
          <w:rFonts w:ascii="Montserrat" w:eastAsia="Times New Roman" w:hAnsi="Montserrat" w:cs="Times New Roman"/>
          <w:color w:val="000000"/>
          <w:sz w:val="26"/>
          <w:szCs w:val="26"/>
          <w:lang w:eastAsia="uk-UA"/>
        </w:rPr>
        <w:t>)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закладу освіти.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Запропонована форма. Свідоцтва є орієнтовною.</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«Характеристика навчальної діяльності»</w:t>
      </w:r>
      <w:r w:rsidRPr="0039335D">
        <w:rPr>
          <w:rFonts w:ascii="Montserrat" w:eastAsia="Times New Roman" w:hAnsi="Montserrat" w:cs="Times New Roman"/>
          <w:color w:val="000000"/>
          <w:sz w:val="26"/>
          <w:szCs w:val="26"/>
          <w:lang w:eastAsia="uk-UA"/>
        </w:rPr>
        <w:t xml:space="preserve"> сформована відповідно до переліку наскрізних умінь, визначених Державним стандартом. Результатом спостереження за </w:t>
      </w:r>
      <w:r w:rsidRPr="0039335D">
        <w:rPr>
          <w:rFonts w:ascii="Montserrat" w:eastAsia="Times New Roman" w:hAnsi="Montserrat" w:cs="Times New Roman"/>
          <w:color w:val="000000"/>
          <w:sz w:val="26"/>
          <w:szCs w:val="26"/>
          <w:lang w:eastAsia="uk-UA"/>
        </w:rPr>
        <w:lastRenderedPageBreak/>
        <w:t>розвитком наскрізних умінь є виставлення відповідної позначки в стовпці «Має значні успіхи / Демонструє помітний прогрес / Потребує уваги і допомоги» після завершення кожного навчального року або в разі зміни учнями закладу освіти. Способи організації фіксування результатів спостереження педагогічні колективи закладів освіти визначають самостійно.</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«Характеристика результатів навчання».</w:t>
      </w:r>
      <w:r w:rsidRPr="0039335D">
        <w:rPr>
          <w:rFonts w:ascii="Montserrat" w:eastAsia="Times New Roman" w:hAnsi="Montserrat" w:cs="Times New Roman"/>
          <w:color w:val="000000"/>
          <w:sz w:val="26"/>
          <w:szCs w:val="26"/>
          <w:lang w:eastAsia="uk-UA"/>
        </w:rPr>
        <w:t> Заповнення цієї частини «Свідоцтва здійснюють відповідно до переліку навчальних предметів / інтегрованих курсів, визначених затвердженою освітньою програмою закладу освіти.</w:t>
      </w:r>
    </w:p>
    <w:p w:rsidR="0039335D" w:rsidRPr="0039335D" w:rsidRDefault="0039335D" w:rsidP="0039335D">
      <w:pPr>
        <w:shd w:val="clear" w:color="auto" w:fill="FFFFFF"/>
        <w:spacing w:after="225"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t>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b/>
          <w:bCs/>
          <w:color w:val="000000"/>
          <w:sz w:val="26"/>
          <w:szCs w:val="26"/>
          <w:bdr w:val="none" w:sz="0" w:space="0" w:color="auto" w:frame="1"/>
          <w:lang w:eastAsia="uk-UA"/>
        </w:rPr>
        <w:t>Загальні критерії</w:t>
      </w:r>
      <w:r w:rsidRPr="0039335D">
        <w:rPr>
          <w:rFonts w:ascii="Montserrat" w:eastAsia="Times New Roman" w:hAnsi="Montserrat" w:cs="Times New Roman"/>
          <w:b/>
          <w:bCs/>
          <w:color w:val="000000"/>
          <w:sz w:val="26"/>
          <w:szCs w:val="26"/>
          <w:bdr w:val="none" w:sz="0" w:space="0" w:color="auto" w:frame="1"/>
          <w:lang w:eastAsia="uk-UA"/>
        </w:rPr>
        <w:br/>
        <w:t>оцінювання результатів навчання здобувачів освіти</w:t>
      </w:r>
      <w:r w:rsidRPr="0039335D">
        <w:rPr>
          <w:rFonts w:ascii="Montserrat" w:eastAsia="Times New Roman" w:hAnsi="Montserrat" w:cs="Times New Roman"/>
          <w:b/>
          <w:bCs/>
          <w:color w:val="000000"/>
          <w:sz w:val="26"/>
          <w:szCs w:val="26"/>
          <w:bdr w:val="none" w:sz="0" w:space="0" w:color="auto" w:frame="1"/>
          <w:lang w:eastAsia="uk-UA"/>
        </w:rPr>
        <w:br/>
        <w:t>відповідно до нового Державного стандарту базової середньої освіти</w:t>
      </w:r>
    </w:p>
    <w:tbl>
      <w:tblPr>
        <w:tblW w:w="10500" w:type="dxa"/>
        <w:tblCellMar>
          <w:left w:w="0" w:type="dxa"/>
          <w:right w:w="0" w:type="dxa"/>
        </w:tblCellMar>
        <w:tblLook w:val="04A0" w:firstRow="1" w:lastRow="0" w:firstColumn="1" w:lastColumn="0" w:noHBand="0" w:noVBand="1"/>
      </w:tblPr>
      <w:tblGrid>
        <w:gridCol w:w="1575"/>
        <w:gridCol w:w="1104"/>
        <w:gridCol w:w="7821"/>
      </w:tblGrid>
      <w:tr w:rsidR="0039335D" w:rsidRPr="0039335D" w:rsidTr="0039335D">
        <w:tc>
          <w:tcPr>
            <w:tcW w:w="990"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Рівень</w:t>
            </w: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Бал</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Загальна характеристика</w:t>
            </w:r>
          </w:p>
        </w:tc>
      </w:tr>
      <w:tr w:rsidR="0039335D" w:rsidRPr="0039335D" w:rsidTr="0039335D">
        <w:tc>
          <w:tcPr>
            <w:tcW w:w="990" w:type="dxa"/>
            <w:vMerge w:val="restart"/>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Початковий</w:t>
            </w: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1</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частину простих завдань / навчальних дій за наданим зразком з допомогою вчителя;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передає інформацію, намагається висловлювати свої думки, використовуючи короткі однотипні фрази.</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2</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прості завдання / навчальні дії за наданим зразком з допомогою вчителя; показує свою зацікавленість до ідей, висловлених іншими.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xml:space="preserve">·         </w:t>
            </w:r>
            <w:proofErr w:type="spellStart"/>
            <w:r w:rsidRPr="0039335D">
              <w:rPr>
                <w:rFonts w:ascii="Roboto" w:eastAsia="Times New Roman" w:hAnsi="Roboto" w:cs="Times New Roman"/>
                <w:sz w:val="21"/>
                <w:szCs w:val="21"/>
                <w:lang w:eastAsia="uk-UA"/>
              </w:rPr>
              <w:t>комунікує</w:t>
            </w:r>
            <w:proofErr w:type="spellEnd"/>
            <w:r w:rsidRPr="0039335D">
              <w:rPr>
                <w:rFonts w:ascii="Roboto" w:eastAsia="Times New Roman" w:hAnsi="Roboto" w:cs="Times New Roman"/>
                <w:sz w:val="21"/>
                <w:szCs w:val="21"/>
                <w:lang w:eastAsia="uk-UA"/>
              </w:rPr>
              <w:t xml:space="preserve"> з іншими за потреби, використовує прості однотипні фрази.</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3</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завдання / навчальні дії за наданим зразком з допомогою вчителя; долучається до роботи в групі.</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39335D" w:rsidRPr="0039335D" w:rsidTr="0039335D">
        <w:tc>
          <w:tcPr>
            <w:tcW w:w="990" w:type="dxa"/>
            <w:vMerge w:val="restart"/>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Середній</w:t>
            </w: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4</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завдання /навчальні дії за зразком під керівництвом учителя; виконує обов'язки, розподілені в групі;</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використовує прості фрази / речення; сприяє спілкуванню та може надати пояснення у межах запропонованої теми.</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5</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завдання в групі відповідно до своєї ролі;</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підтримує спілкування в межах запропонованої теми, використовує прості фрази / речення.</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6</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спілкується у межах запропонованої теми, використовує прості фрази / речення.</w:t>
            </w:r>
          </w:p>
        </w:tc>
      </w:tr>
      <w:tr w:rsidR="0039335D" w:rsidRPr="0039335D" w:rsidTr="0039335D">
        <w:tc>
          <w:tcPr>
            <w:tcW w:w="990" w:type="dxa"/>
            <w:vMerge w:val="restart"/>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Достатній</w:t>
            </w: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7</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долучається до спілкування в межах запропонованої теми та визначає завдання через поставленні запитання.</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8</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запрошує до спілкування, чітко формулюючи питання та пріоритети для обговорення та у межах запропонованої теми.</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9</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ініціює спілкування та обмінюється інформацією у межах запропонованої теми.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tc>
      </w:tr>
      <w:tr w:rsidR="0039335D" w:rsidRPr="0039335D" w:rsidTr="0039335D">
        <w:tc>
          <w:tcPr>
            <w:tcW w:w="990" w:type="dxa"/>
            <w:vMerge w:val="restart"/>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lastRenderedPageBreak/>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Високий</w:t>
            </w: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10</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11</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xml:space="preserve">·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39335D">
              <w:rPr>
                <w:rFonts w:ascii="Roboto" w:eastAsia="Times New Roman" w:hAnsi="Roboto" w:cs="Times New Roman"/>
                <w:sz w:val="21"/>
                <w:szCs w:val="21"/>
                <w:lang w:eastAsia="uk-UA"/>
              </w:rPr>
              <w:t>конструктивно</w:t>
            </w:r>
            <w:proofErr w:type="spellEnd"/>
            <w:r w:rsidRPr="0039335D">
              <w:rPr>
                <w:rFonts w:ascii="Roboto" w:eastAsia="Times New Roman" w:hAnsi="Roboto" w:cs="Times New Roman"/>
                <w:sz w:val="21"/>
                <w:szCs w:val="21"/>
                <w:lang w:eastAsia="uk-UA"/>
              </w:rPr>
              <w:t xml:space="preserve"> взаємодіє у групі;</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tc>
      </w:tr>
      <w:tr w:rsidR="0039335D" w:rsidRPr="0039335D" w:rsidTr="0039335D">
        <w:tc>
          <w:tcPr>
            <w:tcW w:w="0" w:type="auto"/>
            <w:vMerge/>
            <w:vAlign w:val="bottom"/>
            <w:hideMark/>
          </w:tcPr>
          <w:p w:rsidR="0039335D" w:rsidRPr="0039335D" w:rsidRDefault="0039335D" w:rsidP="0039335D">
            <w:pPr>
              <w:spacing w:after="0" w:line="240" w:lineRule="auto"/>
              <w:jc w:val="both"/>
              <w:rPr>
                <w:rFonts w:ascii="Roboto" w:eastAsia="Times New Roman" w:hAnsi="Roboto" w:cs="Times New Roman"/>
                <w:sz w:val="21"/>
                <w:szCs w:val="21"/>
                <w:lang w:eastAsia="uk-UA"/>
              </w:rPr>
            </w:pPr>
          </w:p>
        </w:tc>
        <w:tc>
          <w:tcPr>
            <w:tcW w:w="10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12</w:t>
            </w:r>
          </w:p>
        </w:tc>
        <w:tc>
          <w:tcPr>
            <w:tcW w:w="7335" w:type="dxa"/>
            <w:tcMar>
              <w:top w:w="150" w:type="dxa"/>
              <w:left w:w="150" w:type="dxa"/>
              <w:bottom w:w="150" w:type="dxa"/>
              <w:right w:w="150" w:type="dxa"/>
            </w:tcMar>
            <w:vAlign w:val="center"/>
            <w:hideMark/>
          </w:tcPr>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Montserrat" w:eastAsia="Times New Roman" w:hAnsi="Montserrat" w:cs="Times New Roman"/>
                <w:i/>
                <w:iCs/>
                <w:sz w:val="26"/>
                <w:szCs w:val="26"/>
                <w:bdr w:val="none" w:sz="0" w:space="0" w:color="auto" w:frame="1"/>
                <w:lang w:eastAsia="uk-UA"/>
              </w:rPr>
              <w:t>Учень / учениця:</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оцінює отриману інформацію, отриману з різних джерел, порівнює та зіставляє її; використовує усвідомлено інформацію в різних ситуаціях;</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sz w:val="21"/>
                <w:szCs w:val="21"/>
                <w:lang w:eastAsia="uk-UA"/>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p w:rsidR="0039335D" w:rsidRPr="0039335D" w:rsidRDefault="0039335D" w:rsidP="0039335D">
            <w:pPr>
              <w:spacing w:after="0" w:line="240" w:lineRule="atLeast"/>
              <w:jc w:val="both"/>
              <w:textAlignment w:val="center"/>
              <w:rPr>
                <w:rFonts w:ascii="Roboto" w:eastAsia="Times New Roman" w:hAnsi="Roboto" w:cs="Times New Roman"/>
                <w:sz w:val="21"/>
                <w:szCs w:val="21"/>
                <w:lang w:eastAsia="uk-UA"/>
              </w:rPr>
            </w:pPr>
            <w:r w:rsidRPr="0039335D">
              <w:rPr>
                <w:rFonts w:ascii="Roboto" w:eastAsia="Times New Roman" w:hAnsi="Roboto" w:cs="Times New Roman"/>
                <w:b/>
                <w:bCs/>
                <w:sz w:val="21"/>
                <w:szCs w:val="21"/>
                <w:bdr w:val="none" w:sz="0" w:space="0" w:color="auto" w:frame="1"/>
                <w:lang w:eastAsia="uk-UA"/>
              </w:rPr>
              <w:t> </w:t>
            </w:r>
          </w:p>
        </w:tc>
      </w:tr>
    </w:tbl>
    <w:p w:rsidR="0039335D" w:rsidRPr="0039335D" w:rsidRDefault="0039335D" w:rsidP="0039335D">
      <w:pPr>
        <w:shd w:val="clear" w:color="auto" w:fill="FFFFFF"/>
        <w:spacing w:after="0" w:line="332" w:lineRule="atLeast"/>
        <w:jc w:val="both"/>
        <w:textAlignment w:val="baseline"/>
        <w:rPr>
          <w:rFonts w:ascii="Montserrat" w:eastAsia="Times New Roman" w:hAnsi="Montserrat" w:cs="Times New Roman"/>
          <w:color w:val="000000"/>
          <w:sz w:val="26"/>
          <w:szCs w:val="26"/>
          <w:lang w:eastAsia="uk-UA"/>
        </w:rPr>
      </w:pPr>
      <w:r w:rsidRPr="0039335D">
        <w:rPr>
          <w:rFonts w:ascii="Montserrat" w:eastAsia="Times New Roman" w:hAnsi="Montserrat" w:cs="Times New Roman"/>
          <w:color w:val="000000"/>
          <w:sz w:val="26"/>
          <w:szCs w:val="26"/>
          <w:lang w:eastAsia="uk-UA"/>
        </w:rPr>
        <w:br/>
      </w:r>
      <w:r w:rsidRPr="0039335D">
        <w:rPr>
          <w:rFonts w:ascii="Montserrat" w:eastAsia="Times New Roman" w:hAnsi="Montserrat" w:cs="Times New Roman"/>
          <w:i/>
          <w:iCs/>
          <w:color w:val="000000"/>
          <w:sz w:val="26"/>
          <w:szCs w:val="26"/>
          <w:bdr w:val="none" w:sz="0" w:space="0" w:color="auto" w:frame="1"/>
          <w:lang w:eastAsia="uk-UA"/>
        </w:rPr>
        <w:t>Складено на підставі рекомендацій щодо оцінювання результатів навчання учнів 5-9 класів, які здобувають освіту відповідно до нового Державного стандарту базової середньої освіти, затверджених </w:t>
      </w:r>
      <w:hyperlink r:id="rId8" w:history="1">
        <w:r w:rsidRPr="0039335D">
          <w:rPr>
            <w:rFonts w:ascii="Montserrat" w:eastAsia="Times New Roman" w:hAnsi="Montserrat" w:cs="Times New Roman"/>
            <w:i/>
            <w:iCs/>
            <w:color w:val="0000FF"/>
            <w:sz w:val="26"/>
            <w:szCs w:val="26"/>
            <w:bdr w:val="none" w:sz="0" w:space="0" w:color="auto" w:frame="1"/>
            <w:lang w:eastAsia="uk-UA"/>
          </w:rPr>
          <w:t>наказом</w:t>
        </w:r>
      </w:hyperlink>
      <w:r w:rsidRPr="0039335D">
        <w:rPr>
          <w:rFonts w:ascii="Montserrat" w:eastAsia="Times New Roman" w:hAnsi="Montserrat" w:cs="Times New Roman"/>
          <w:i/>
          <w:iCs/>
          <w:color w:val="000000"/>
          <w:sz w:val="26"/>
          <w:szCs w:val="26"/>
          <w:bdr w:val="none" w:sz="0" w:space="0" w:color="auto" w:frame="1"/>
          <w:lang w:eastAsia="uk-UA"/>
        </w:rPr>
        <w:t> Міністерства освіти і науки України № 1093 від 02.08.2024 року.</w:t>
      </w:r>
    </w:p>
    <w:p w:rsidR="00F32807" w:rsidRDefault="0039335D" w:rsidP="0039335D">
      <w:pPr>
        <w:jc w:val="both"/>
      </w:pPr>
    </w:p>
    <w:sectPr w:rsidR="00F328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2337"/>
    <w:multiLevelType w:val="multilevel"/>
    <w:tmpl w:val="449A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592492"/>
    <w:multiLevelType w:val="multilevel"/>
    <w:tmpl w:val="689C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DB7B8C"/>
    <w:multiLevelType w:val="multilevel"/>
    <w:tmpl w:val="FC3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FC"/>
    <w:rsid w:val="000070FC"/>
    <w:rsid w:val="00217FCF"/>
    <w:rsid w:val="0039335D"/>
    <w:rsid w:val="00456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FA5E6-7758-47DF-ABD9-D7F9896D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6654">
      <w:bodyDiv w:val="1"/>
      <w:marLeft w:val="0"/>
      <w:marRight w:val="0"/>
      <w:marTop w:val="0"/>
      <w:marBottom w:val="0"/>
      <w:divBdr>
        <w:top w:val="none" w:sz="0" w:space="0" w:color="auto"/>
        <w:left w:val="none" w:sz="0" w:space="0" w:color="auto"/>
        <w:bottom w:val="none" w:sz="0" w:space="0" w:color="auto"/>
        <w:right w:val="none" w:sz="0" w:space="0" w:color="auto"/>
      </w:divBdr>
      <w:divsChild>
        <w:div w:id="229074397">
          <w:marLeft w:val="0"/>
          <w:marRight w:val="0"/>
          <w:marTop w:val="0"/>
          <w:marBottom w:val="225"/>
          <w:divBdr>
            <w:top w:val="none" w:sz="0" w:space="0" w:color="auto"/>
            <w:left w:val="none" w:sz="0" w:space="0" w:color="auto"/>
            <w:bottom w:val="none" w:sz="0" w:space="0" w:color="auto"/>
            <w:right w:val="none" w:sz="0" w:space="0" w:color="auto"/>
          </w:divBdr>
        </w:div>
        <w:div w:id="270819699">
          <w:marLeft w:val="0"/>
          <w:marRight w:val="0"/>
          <w:marTop w:val="0"/>
          <w:marBottom w:val="0"/>
          <w:divBdr>
            <w:top w:val="none" w:sz="0" w:space="0" w:color="auto"/>
            <w:left w:val="none" w:sz="0" w:space="0" w:color="auto"/>
            <w:bottom w:val="none" w:sz="0" w:space="0" w:color="auto"/>
            <w:right w:val="none" w:sz="0" w:space="0" w:color="auto"/>
          </w:divBdr>
          <w:divsChild>
            <w:div w:id="2105107417">
              <w:marLeft w:val="300"/>
              <w:marRight w:val="-2100"/>
              <w:marTop w:val="0"/>
              <w:marBottom w:val="300"/>
              <w:divBdr>
                <w:top w:val="none" w:sz="0" w:space="0" w:color="auto"/>
                <w:left w:val="none" w:sz="0" w:space="0" w:color="auto"/>
                <w:bottom w:val="none" w:sz="0" w:space="0" w:color="auto"/>
                <w:right w:val="none" w:sz="0" w:space="0" w:color="auto"/>
              </w:divBdr>
            </w:div>
            <w:div w:id="3472165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92715/" TargetMode="External"/><Relationship Id="rId3" Type="http://schemas.openxmlformats.org/officeDocument/2006/relationships/settings" Target="settings.xml"/><Relationship Id="rId7" Type="http://schemas.openxmlformats.org/officeDocument/2006/relationships/hyperlink" Target="https://osvita.ua/doc/files/news/927/92715/Svidotstvo_dosyahnennya-5-9-kh_klasiv-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school/94685/" TargetMode="External"/><Relationship Id="rId5" Type="http://schemas.openxmlformats.org/officeDocument/2006/relationships/hyperlink" Target="https://osvita.ua/legislation/Ser_osv/768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15194</Words>
  <Characters>8662</Characters>
  <Application>Microsoft Office Word</Application>
  <DocSecurity>0</DocSecurity>
  <Lines>72</Lines>
  <Paragraphs>47</Paragraphs>
  <ScaleCrop>false</ScaleCrop>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3</cp:revision>
  <dcterms:created xsi:type="dcterms:W3CDTF">2025-06-05T09:57:00Z</dcterms:created>
  <dcterms:modified xsi:type="dcterms:W3CDTF">2025-06-05T09:57:00Z</dcterms:modified>
</cp:coreProperties>
</file>