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1F" w:rsidRPr="0082271F" w:rsidRDefault="0082271F" w:rsidP="0082271F">
      <w:pPr>
        <w:shd w:val="clear" w:color="auto" w:fill="FFFFFF"/>
        <w:spacing w:line="675" w:lineRule="atLeast"/>
        <w:jc w:val="center"/>
        <w:textAlignment w:val="baseline"/>
        <w:outlineLvl w:val="0"/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uk-UA"/>
        </w:rPr>
      </w:pPr>
      <w:r w:rsidRPr="0082271F"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uk-UA"/>
        </w:rPr>
        <w:t>Хімія: критерії оцінювання. 8–11 класи</w:t>
      </w:r>
    </w:p>
    <w:p w:rsidR="0082271F" w:rsidRPr="0082271F" w:rsidRDefault="0082271F" w:rsidP="0082271F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 xml:space="preserve">Визначальними в оцінюванні рівня навчальних досягнень учнів з хімії є особистісні результати пізнавальної діяльності, в яких відображаються </w:t>
      </w:r>
      <w:proofErr w:type="spellStart"/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загальнопредметні</w:t>
      </w:r>
      <w:proofErr w:type="spellEnd"/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 xml:space="preserve"> компетентності, набуті учнями в процесі  навчання.</w:t>
      </w:r>
    </w:p>
    <w:p w:rsidR="0082271F" w:rsidRPr="0082271F" w:rsidRDefault="0082271F" w:rsidP="0082271F">
      <w:pPr>
        <w:shd w:val="clear" w:color="auto" w:fill="FFFFFF"/>
        <w:spacing w:line="330" w:lineRule="atLeast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hyperlink r:id="rId5" w:history="1">
        <w:bookmarkStart w:id="0" w:name="_GoBack"/>
        <w:bookmarkEnd w:id="0"/>
        <w:proofErr w:type="spellStart"/>
        <w:r w:rsidRPr="0082271F">
          <w:rPr>
            <w:rFonts w:ascii="Roboto" w:eastAsia="Times New Roman" w:hAnsi="Roboto" w:cs="Arial"/>
            <w:caps/>
            <w:color w:val="FFFFFF"/>
            <w:sz w:val="12"/>
            <w:szCs w:val="12"/>
            <w:bdr w:val="none" w:sz="0" w:space="0" w:color="auto" w:frame="1"/>
            <w:lang w:eastAsia="uk-UA"/>
          </w:rPr>
          <w:t>PROMO</w:t>
        </w:r>
        <w:r w:rsidRPr="0082271F">
          <w:rPr>
            <w:rFonts w:ascii="Roboto" w:eastAsia="Times New Roman" w:hAnsi="Roboto" w:cs="Arial"/>
            <w:b/>
            <w:bCs/>
            <w:color w:val="FFFFFF"/>
            <w:sz w:val="21"/>
            <w:szCs w:val="21"/>
            <w:bdr w:val="none" w:sz="0" w:space="0" w:color="auto" w:frame="1"/>
            <w:lang w:eastAsia="uk-UA"/>
          </w:rPr>
          <w:t>Як</w:t>
        </w:r>
        <w:proofErr w:type="spellEnd"/>
        <w:r w:rsidRPr="0082271F">
          <w:rPr>
            <w:rFonts w:ascii="Roboto" w:eastAsia="Times New Roman" w:hAnsi="Roboto" w:cs="Arial"/>
            <w:b/>
            <w:bCs/>
            <w:color w:val="FFFFFF"/>
            <w:sz w:val="21"/>
            <w:szCs w:val="21"/>
            <w:bdr w:val="none" w:sz="0" w:space="0" w:color="auto" w:frame="1"/>
            <w:lang w:eastAsia="uk-UA"/>
          </w:rPr>
          <w:t xml:space="preserve"> видавництво змінило українську освіту: історія «Ранку» тривалістю 28 років</w:t>
        </w:r>
      </w:hyperlink>
    </w:p>
    <w:p w:rsidR="0082271F" w:rsidRPr="0082271F" w:rsidRDefault="0082271F" w:rsidP="0082271F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За відмінностями між обсягом і глибиною досягнутих результатів, ступенем самостійності у виконанні завдань, здатністю використовувати  знання  у нових ситуаціях виокремлено  рівні навчальних досягнень учнів, що  оцінюються за 12-</w:t>
      </w: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softHyphen/>
        <w:t>бальною шкалою.</w:t>
      </w:r>
    </w:p>
    <w:p w:rsidR="0082271F" w:rsidRPr="0082271F" w:rsidRDefault="0082271F" w:rsidP="0082271F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Кожний наступний рівень вбирає в себе вимоги до попереднього, а також додає нові характеристики.  </w:t>
      </w:r>
    </w:p>
    <w:p w:rsidR="0082271F" w:rsidRPr="0082271F" w:rsidRDefault="0082271F" w:rsidP="0082271F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При  оцінюванні рівня навчальних досягнень  з хімії враховується:</w:t>
      </w:r>
    </w:p>
    <w:p w:rsidR="0082271F" w:rsidRPr="0082271F" w:rsidRDefault="0082271F" w:rsidP="0082271F">
      <w:pPr>
        <w:numPr>
          <w:ilvl w:val="0"/>
          <w:numId w:val="1"/>
        </w:numPr>
        <w:shd w:val="clear" w:color="auto" w:fill="FFFFFF"/>
        <w:spacing w:after="225" w:line="332" w:lineRule="atLeast"/>
        <w:ind w:left="315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оволодіння хімічною мовою як засобом відображення знань про речовини і хімічні явища;</w:t>
      </w:r>
    </w:p>
    <w:p w:rsidR="0082271F" w:rsidRPr="0082271F" w:rsidRDefault="0082271F" w:rsidP="0082271F">
      <w:pPr>
        <w:numPr>
          <w:ilvl w:val="0"/>
          <w:numId w:val="1"/>
        </w:numPr>
        <w:shd w:val="clear" w:color="auto" w:fill="FFFFFF"/>
        <w:spacing w:after="225" w:line="332" w:lineRule="atLeast"/>
        <w:ind w:left="315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рівень засвоєння теоретичних знань;</w:t>
      </w:r>
    </w:p>
    <w:p w:rsidR="0082271F" w:rsidRPr="0082271F" w:rsidRDefault="0082271F" w:rsidP="0082271F">
      <w:pPr>
        <w:numPr>
          <w:ilvl w:val="0"/>
          <w:numId w:val="1"/>
        </w:numPr>
        <w:shd w:val="clear" w:color="auto" w:fill="FFFFFF"/>
        <w:spacing w:after="225" w:line="332" w:lineRule="atLeast"/>
        <w:ind w:left="315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сформованість експериментальних умінь, необхідних  для виконання хімічних дослідів, передбачених навчальною програмою;</w:t>
      </w:r>
    </w:p>
    <w:p w:rsidR="0082271F" w:rsidRPr="0082271F" w:rsidRDefault="0082271F" w:rsidP="0082271F">
      <w:pPr>
        <w:numPr>
          <w:ilvl w:val="0"/>
          <w:numId w:val="1"/>
        </w:numPr>
        <w:shd w:val="clear" w:color="auto" w:fill="FFFFFF"/>
        <w:spacing w:after="225" w:line="332" w:lineRule="atLeast"/>
        <w:ind w:left="315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здатність учнів застосовувати набуті знання на практиці;</w:t>
      </w:r>
    </w:p>
    <w:p w:rsidR="0082271F" w:rsidRPr="0082271F" w:rsidRDefault="0082271F" w:rsidP="0082271F">
      <w:pPr>
        <w:numPr>
          <w:ilvl w:val="0"/>
          <w:numId w:val="1"/>
        </w:numPr>
        <w:shd w:val="clear" w:color="auto" w:fill="FFFFFF"/>
        <w:spacing w:after="225" w:line="332" w:lineRule="atLeast"/>
        <w:ind w:left="315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уміння розв’язувати розрахункові задачі.</w:t>
      </w:r>
    </w:p>
    <w:p w:rsidR="0082271F" w:rsidRPr="0082271F" w:rsidRDefault="0082271F" w:rsidP="0082271F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t>Усі види оцінювання навчальних досягнень учнів здійснюються за характеристиками, наведеними в таблицях.</w:t>
      </w:r>
    </w:p>
    <w:p w:rsidR="0082271F" w:rsidRPr="0082271F" w:rsidRDefault="0082271F" w:rsidP="0082271F">
      <w:pPr>
        <w:shd w:val="clear" w:color="auto" w:fill="FFFFFF"/>
        <w:spacing w:after="0" w:line="332" w:lineRule="atLeast"/>
        <w:jc w:val="center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Оцінювання теоретичних знань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83"/>
        <w:gridCol w:w="7881"/>
      </w:tblGrid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Бали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Характеристика навчальних досягнень учня (учениці)</w:t>
            </w:r>
          </w:p>
        </w:tc>
      </w:tr>
      <w:tr w:rsidR="0082271F" w:rsidRPr="0082271F" w:rsidTr="0082271F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Початковий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розпізнає деякі хімічні об’єкти (хімічні символи, формули, явища, посуд тощо) і називає їх (на побутовому рівні)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описує деякі хімічні об’єкти за певними ознаками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має фрагментарні уявлення з предмета вивчення і під керівництвом вчителя може відтворити окремі його частини</w:t>
            </w:r>
          </w:p>
        </w:tc>
      </w:tr>
      <w:tr w:rsidR="0082271F" w:rsidRPr="0082271F" w:rsidTr="0082271F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Середній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Учень (учениця) відтворює деякі факти, що стосуються хімічних </w:t>
            </w:r>
            <w:proofErr w:type="spellStart"/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сполук</w:t>
            </w:r>
            <w:proofErr w:type="spellEnd"/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 і явищ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відтворює окремі частини навчального матеріалу, дає визначення основних понять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послідовно відтворює значну частину навчального матеріалу</w:t>
            </w:r>
          </w:p>
        </w:tc>
      </w:tr>
      <w:tr w:rsidR="0082271F" w:rsidRPr="0082271F" w:rsidTr="0082271F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Достатній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відтворює навчальний матеріал, наводить  приклади, з допомогою вчителя порівнює хімічні об’єкти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Учень (учениця) </w:t>
            </w:r>
            <w:proofErr w:type="spellStart"/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логічно</w:t>
            </w:r>
            <w:proofErr w:type="spellEnd"/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 відтворює фактичний і теоретичний навчальний матеріал, застосовує знання в стандартних умовах, порівнює, класифікує хімічні об’єкти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володіє знаннями основоположних хімічних теорій і фактів, наводить приклади на підтвердження цього, аналізує інформацію, робить   висновки</w:t>
            </w:r>
          </w:p>
        </w:tc>
      </w:tr>
      <w:tr w:rsidR="0082271F" w:rsidRPr="0082271F" w:rsidTr="0082271F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Високий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володіє навчальним матеріалом і застосовує знання на практиці, узагальнює й систематизує інформацію, робить аргументовані висновки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Учень (учениця) володіє засвоєними знаннями і використовує їх у нестандартних ситуаціях, встановлює зв’язки між явищами; самостійно знаходить, оцінює і використовує інформацію з різних джерел згідно з поставленим завданням; робить </w:t>
            </w:r>
            <w:proofErr w:type="spellStart"/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узагальнювальні</w:t>
            </w:r>
            <w:proofErr w:type="spellEnd"/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 висновки</w:t>
            </w:r>
          </w:p>
        </w:tc>
      </w:tr>
      <w:tr w:rsidR="0082271F" w:rsidRPr="0082271F" w:rsidTr="0082271F">
        <w:tc>
          <w:tcPr>
            <w:tcW w:w="0" w:type="auto"/>
            <w:vMerge/>
            <w:vAlign w:val="bottom"/>
            <w:hideMark/>
          </w:tcPr>
          <w:p w:rsidR="0082271F" w:rsidRPr="0082271F" w:rsidRDefault="0082271F" w:rsidP="0082271F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має системні знання з предмета, аргументовано використовує їх, у тому числі в проблемних ситуаціях; аналізує додаткову інформацію; самостійно оцінює явища, приймає рішення, висловлює судження, пов’язані з речовинами та їх перетвореннями</w:t>
            </w:r>
          </w:p>
        </w:tc>
      </w:tr>
    </w:tbl>
    <w:p w:rsidR="0082271F" w:rsidRPr="0082271F" w:rsidRDefault="0082271F" w:rsidP="0082271F">
      <w:pPr>
        <w:shd w:val="clear" w:color="auto" w:fill="FFFFFF"/>
        <w:spacing w:after="0" w:line="332" w:lineRule="atLeast"/>
        <w:jc w:val="center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br/>
      </w:r>
      <w:r w:rsidRPr="0082271F">
        <w:rPr>
          <w:rFonts w:ascii="Montserrat" w:eastAsia="Times New Roman" w:hAnsi="Montserrat" w:cs="Arial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Оцінювання практичних робіт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8540"/>
      </w:tblGrid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Характеристика навчальних досягнень учнів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Початковий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знає правила безпеки під час проведення практичних робіт, виконує найпростіші хімічні досліди під керівництвом вчителя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Середній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складає прилади; з допомогою вчителя виконує окремі хімічні досліди згідно з інструкцією, описує хід виконання дослідів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Достатній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самостійно виконує практичні роботи згідно з інструкцією, описує спостереження, робить   висновки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Високий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виконує хімічні експерименти, раціонально використовуючи обладнання і реактиви; описує поетапні спостереження; складає звіт, що містить обґрунтовані висновки; виконує експериментальні задачі за власним планом</w:t>
            </w:r>
          </w:p>
        </w:tc>
      </w:tr>
    </w:tbl>
    <w:p w:rsidR="0082271F" w:rsidRPr="0082271F" w:rsidRDefault="0082271F" w:rsidP="0082271F">
      <w:pPr>
        <w:shd w:val="clear" w:color="auto" w:fill="FFFFFF"/>
        <w:spacing w:after="0" w:line="332" w:lineRule="atLeast"/>
        <w:jc w:val="center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br/>
      </w:r>
      <w:r w:rsidRPr="0082271F">
        <w:rPr>
          <w:rFonts w:ascii="Montserrat" w:eastAsia="Times New Roman" w:hAnsi="Montserrat" w:cs="Arial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Оцінювання розв’язування розрахункових задач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8004"/>
      </w:tblGrid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Характеристика навчальних досягнень учнів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Початковий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Розв’язування задач не передбачене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Середній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складає скорочену умову задачі; робить обчислення лише з готовою формулою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lastRenderedPageBreak/>
              <w:t>Достатній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наводить потрібні формули речовин і рівняння реакцій; розв’язує задачі, користуючись алгоритмом</w:t>
            </w:r>
          </w:p>
        </w:tc>
      </w:tr>
      <w:tr w:rsidR="0082271F" w:rsidRPr="0082271F" w:rsidTr="0082271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Високий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271F" w:rsidRPr="0082271F" w:rsidRDefault="0082271F" w:rsidP="0082271F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82271F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Учень (учениця) самостійно і раціонально розв’язує задачі; розв’язує комбіновані задачі</w:t>
            </w:r>
          </w:p>
        </w:tc>
      </w:tr>
    </w:tbl>
    <w:p w:rsidR="0082271F" w:rsidRPr="0082271F" w:rsidRDefault="0082271F" w:rsidP="0082271F">
      <w:pPr>
        <w:shd w:val="clear" w:color="auto" w:fill="FFFFFF"/>
        <w:spacing w:after="0" w:line="332" w:lineRule="atLeast"/>
        <w:textAlignment w:val="baseline"/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</w:pPr>
      <w:r w:rsidRPr="0082271F">
        <w:rPr>
          <w:rFonts w:ascii="Montserrat" w:eastAsia="Times New Roman" w:hAnsi="Montserrat" w:cs="Arial"/>
          <w:color w:val="000000"/>
          <w:sz w:val="26"/>
          <w:szCs w:val="26"/>
          <w:lang w:eastAsia="uk-UA"/>
        </w:rPr>
        <w:br/>
      </w:r>
      <w:r w:rsidRPr="0082271F">
        <w:rPr>
          <w:rFonts w:ascii="Montserrat" w:eastAsia="Times New Roman" w:hAnsi="Montserrat" w:cs="Arial"/>
          <w:i/>
          <w:iCs/>
          <w:color w:val="000000"/>
          <w:sz w:val="26"/>
          <w:szCs w:val="26"/>
          <w:bdr w:val="none" w:sz="0" w:space="0" w:color="auto" w:frame="1"/>
          <w:lang w:eastAsia="uk-UA"/>
        </w:rPr>
        <w:t>Складено на підставі </w:t>
      </w:r>
      <w:hyperlink r:id="rId6" w:history="1">
        <w:r w:rsidRPr="0082271F">
          <w:rPr>
            <w:rFonts w:ascii="Montserrat" w:eastAsia="Times New Roman" w:hAnsi="Montserrat" w:cs="Arial"/>
            <w:i/>
            <w:iCs/>
            <w:color w:val="0000FF"/>
            <w:sz w:val="26"/>
            <w:szCs w:val="26"/>
            <w:bdr w:val="none" w:sz="0" w:space="0" w:color="auto" w:frame="1"/>
            <w:lang w:eastAsia="uk-UA"/>
          </w:rPr>
          <w:t>наказу</w:t>
        </w:r>
      </w:hyperlink>
      <w:r w:rsidRPr="0082271F">
        <w:rPr>
          <w:rFonts w:ascii="Montserrat" w:eastAsia="Times New Roman" w:hAnsi="Montserrat" w:cs="Arial"/>
          <w:i/>
          <w:iCs/>
          <w:color w:val="000000"/>
          <w:sz w:val="26"/>
          <w:szCs w:val="26"/>
          <w:bdr w:val="none" w:sz="0" w:space="0" w:color="auto" w:frame="1"/>
          <w:lang w:eastAsia="uk-UA"/>
        </w:rPr>
        <w:t> МОН №1222 від 21.08.2013 «Про затвердження орієнтовних вимог оцінювання  навчальних досягнень учнів із базових дисциплін у системі загальної середньої освіти».</w:t>
      </w:r>
    </w:p>
    <w:p w:rsidR="00F32807" w:rsidRDefault="0082271F"/>
    <w:sectPr w:rsidR="00F328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C0ED4"/>
    <w:multiLevelType w:val="multilevel"/>
    <w:tmpl w:val="37E8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0A"/>
    <w:rsid w:val="00217FCF"/>
    <w:rsid w:val="00354B0A"/>
    <w:rsid w:val="0045636C"/>
    <w:rsid w:val="0082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8765F-69BB-4CEA-BC43-A73DA32A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5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839">
              <w:marLeft w:val="300"/>
              <w:marRight w:val="-21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36975/" TargetMode="External"/><Relationship Id="rId5" Type="http://schemas.openxmlformats.org/officeDocument/2006/relationships/hyperlink" Target="https://osvita.ua/school/946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2903</Words>
  <Characters>1656</Characters>
  <Application>Microsoft Office Word</Application>
  <DocSecurity>0</DocSecurity>
  <Lines>13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3</cp:revision>
  <dcterms:created xsi:type="dcterms:W3CDTF">2025-06-05T10:47:00Z</dcterms:created>
  <dcterms:modified xsi:type="dcterms:W3CDTF">2025-06-05T10:47:00Z</dcterms:modified>
</cp:coreProperties>
</file>