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AD" w:rsidRDefault="009063AD" w:rsidP="009063AD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  <w:r>
        <w:rPr>
          <w:rFonts w:ascii="Arial" w:hAnsi="Arial" w:cs="Arial"/>
          <w:b w:val="0"/>
          <w:bCs w:val="0"/>
          <w:color w:val="CF1641"/>
          <w:sz w:val="41"/>
          <w:szCs w:val="41"/>
        </w:rPr>
        <w:t>Кабінет практичного психолога</w:t>
      </w:r>
    </w:p>
    <w:p w:rsidR="009063AD" w:rsidRPr="009063AD" w:rsidRDefault="009063AD" w:rsidP="009063AD">
      <w:pPr>
        <w:pStyle w:val="2"/>
        <w:spacing w:before="0" w:line="295" w:lineRule="atLeast"/>
        <w:jc w:val="center"/>
        <w:rPr>
          <w:rFonts w:ascii="Arial" w:hAnsi="Arial" w:cs="Arial"/>
          <w:b/>
          <w:bCs/>
          <w:color w:val="CF1641"/>
          <w:sz w:val="33"/>
          <w:szCs w:val="33"/>
        </w:rPr>
      </w:pPr>
      <w:r>
        <w:rPr>
          <w:rFonts w:ascii="Arial" w:hAnsi="Arial" w:cs="Arial"/>
          <w:b/>
          <w:bCs/>
          <w:color w:val="CF1641"/>
          <w:sz w:val="33"/>
          <w:szCs w:val="33"/>
        </w:rPr>
        <w:t>Світлана КИРИЧУК</w:t>
      </w:r>
    </w:p>
    <w:p w:rsidR="009063AD" w:rsidRDefault="009063AD" w:rsidP="009063AD">
      <w:pPr>
        <w:pStyle w:val="2"/>
        <w:spacing w:before="0" w:line="295" w:lineRule="atLeast"/>
        <w:jc w:val="center"/>
        <w:rPr>
          <w:rFonts w:ascii="Arial" w:hAnsi="Arial" w:cs="Arial"/>
          <w:b/>
          <w:bCs/>
          <w:color w:val="CF1641"/>
          <w:sz w:val="33"/>
          <w:szCs w:val="33"/>
        </w:rPr>
      </w:pPr>
    </w:p>
    <w:p w:rsidR="009063AD" w:rsidRDefault="009063AD" w:rsidP="009063AD">
      <w:pPr>
        <w:pStyle w:val="4"/>
        <w:spacing w:before="0" w:line="295" w:lineRule="atLeast"/>
        <w:rPr>
          <w:rFonts w:ascii="Arial" w:hAnsi="Arial" w:cs="Arial"/>
          <w:b/>
          <w:bCs/>
          <w:color w:val="CF1641"/>
          <w:sz w:val="28"/>
          <w:szCs w:val="28"/>
        </w:rPr>
      </w:pPr>
      <w:r>
        <w:rPr>
          <w:rFonts w:ascii="Arial" w:hAnsi="Arial" w:cs="Arial"/>
          <w:color w:val="CF1641"/>
          <w:sz w:val="28"/>
          <w:szCs w:val="28"/>
        </w:rPr>
        <w:t>Пріоритетні напрямки роботи психологічної служби у 2020/2021н.р.</w:t>
      </w:r>
    </w:p>
    <w:p w:rsidR="009063AD" w:rsidRDefault="009063AD" w:rsidP="009063AD">
      <w:pPr>
        <w:numPr>
          <w:ilvl w:val="0"/>
          <w:numId w:val="9"/>
        </w:numPr>
        <w:spacing w:after="0" w:line="354" w:lineRule="atLeast"/>
        <w:ind w:left="0"/>
        <w:rPr>
          <w:rFonts w:ascii="Arial" w:hAnsi="Arial" w:cs="Arial"/>
          <w:color w:val="212121"/>
          <w:sz w:val="20"/>
          <w:szCs w:val="20"/>
        </w:rPr>
      </w:pPr>
      <w:r>
        <w:rPr>
          <w:rStyle w:val="a4"/>
          <w:rFonts w:ascii="Arial" w:hAnsi="Arial" w:cs="Arial"/>
          <w:color w:val="212121"/>
          <w:sz w:val="20"/>
          <w:szCs w:val="20"/>
        </w:rPr>
        <w:t>Підвищення мотивації до навчання учнів.</w:t>
      </w:r>
    </w:p>
    <w:p w:rsidR="009063AD" w:rsidRDefault="009063AD" w:rsidP="009063AD">
      <w:pPr>
        <w:numPr>
          <w:ilvl w:val="0"/>
          <w:numId w:val="9"/>
        </w:numPr>
        <w:spacing w:after="0" w:line="354" w:lineRule="atLeast"/>
        <w:ind w:left="0"/>
        <w:rPr>
          <w:rFonts w:ascii="Arial" w:hAnsi="Arial" w:cs="Arial"/>
          <w:color w:val="212121"/>
          <w:sz w:val="20"/>
          <w:szCs w:val="20"/>
        </w:rPr>
      </w:pPr>
      <w:r>
        <w:rPr>
          <w:rStyle w:val="a4"/>
          <w:rFonts w:ascii="Arial" w:hAnsi="Arial" w:cs="Arial"/>
          <w:color w:val="212121"/>
          <w:sz w:val="20"/>
          <w:szCs w:val="20"/>
        </w:rPr>
        <w:t>Психологічна підтримка вчителя та попередження емоційного вигорання.</w:t>
      </w:r>
    </w:p>
    <w:p w:rsidR="009063AD" w:rsidRDefault="009063AD" w:rsidP="009063AD">
      <w:pPr>
        <w:numPr>
          <w:ilvl w:val="0"/>
          <w:numId w:val="9"/>
        </w:numPr>
        <w:spacing w:after="0" w:line="354" w:lineRule="atLeast"/>
        <w:ind w:left="0"/>
        <w:rPr>
          <w:rFonts w:ascii="Arial" w:hAnsi="Arial" w:cs="Arial"/>
          <w:color w:val="212121"/>
          <w:sz w:val="20"/>
          <w:szCs w:val="20"/>
        </w:rPr>
      </w:pPr>
      <w:r>
        <w:rPr>
          <w:rStyle w:val="a4"/>
          <w:rFonts w:ascii="Arial" w:hAnsi="Arial" w:cs="Arial"/>
          <w:color w:val="212121"/>
          <w:sz w:val="20"/>
          <w:szCs w:val="20"/>
        </w:rPr>
        <w:t>Адаптація учнів до шкільного навчання</w:t>
      </w:r>
    </w:p>
    <w:p w:rsidR="009063AD" w:rsidRDefault="009063AD" w:rsidP="009063AD">
      <w:pPr>
        <w:numPr>
          <w:ilvl w:val="0"/>
          <w:numId w:val="9"/>
        </w:numPr>
        <w:spacing w:after="0" w:line="354" w:lineRule="atLeast"/>
        <w:ind w:left="0"/>
        <w:rPr>
          <w:rFonts w:ascii="Arial" w:hAnsi="Arial" w:cs="Arial"/>
          <w:color w:val="212121"/>
          <w:sz w:val="20"/>
          <w:szCs w:val="20"/>
        </w:rPr>
      </w:pPr>
      <w:r>
        <w:rPr>
          <w:rStyle w:val="a4"/>
          <w:rFonts w:ascii="Arial" w:hAnsi="Arial" w:cs="Arial"/>
          <w:color w:val="212121"/>
          <w:sz w:val="20"/>
          <w:szCs w:val="20"/>
        </w:rPr>
        <w:t>Робота з дітьми пільгового континенту</w:t>
      </w:r>
    </w:p>
    <w:p w:rsidR="009063AD" w:rsidRDefault="009063AD" w:rsidP="009063AD">
      <w:pPr>
        <w:numPr>
          <w:ilvl w:val="0"/>
          <w:numId w:val="9"/>
        </w:numPr>
        <w:spacing w:after="0" w:line="354" w:lineRule="atLeast"/>
        <w:ind w:left="0"/>
        <w:rPr>
          <w:rFonts w:ascii="Arial" w:hAnsi="Arial" w:cs="Arial"/>
          <w:color w:val="212121"/>
          <w:sz w:val="20"/>
          <w:szCs w:val="20"/>
        </w:rPr>
      </w:pPr>
      <w:r>
        <w:rPr>
          <w:rStyle w:val="a4"/>
          <w:rFonts w:ascii="Arial" w:hAnsi="Arial" w:cs="Arial"/>
          <w:color w:val="212121"/>
          <w:sz w:val="20"/>
          <w:szCs w:val="20"/>
        </w:rPr>
        <w:t>Робота з дітьми, які потребують психолого-педагогічної допомоги</w:t>
      </w:r>
    </w:p>
    <w:p w:rsidR="009063AD" w:rsidRDefault="009063AD" w:rsidP="009063AD">
      <w:pPr>
        <w:pStyle w:val="a3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</w:p>
    <w:p w:rsidR="009063AD" w:rsidRDefault="009063AD" w:rsidP="009063AD">
      <w:pPr>
        <w:pStyle w:val="a3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hyperlink r:id="rId5" w:history="1">
        <w:bookmarkStart w:id="0" w:name="_GoBack"/>
        <w:bookmarkEnd w:id="0"/>
      </w:hyperlink>
      <w:r>
        <w:rPr>
          <w:rFonts w:ascii="Arial" w:hAnsi="Arial" w:cs="Arial"/>
          <w:noProof/>
          <w:color w:val="212121"/>
          <w:sz w:val="20"/>
          <w:szCs w:val="20"/>
        </w:rPr>
        <w:drawing>
          <wp:inline distT="0" distB="0" distL="0" distR="0">
            <wp:extent cx="3143250" cy="2352675"/>
            <wp:effectExtent l="0" t="0" r="0" b="9525"/>
            <wp:docPr id="6" name="Рисунок 6" descr="/Files/images/БУЛІНГ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БУЛІНГ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mgtexttpl"/>
          <w:rFonts w:ascii="Arial" w:hAnsi="Arial" w:cs="Arial"/>
          <w:color w:val="212121"/>
          <w:sz w:val="20"/>
          <w:szCs w:val="20"/>
        </w:rPr>
        <w:t> </w:t>
      </w:r>
      <w:r>
        <w:rPr>
          <w:rFonts w:ascii="Arial" w:hAnsi="Arial" w:cs="Arial"/>
          <w:noProof/>
          <w:color w:val="212121"/>
          <w:sz w:val="20"/>
          <w:szCs w:val="20"/>
        </w:rPr>
        <w:drawing>
          <wp:inline distT="0" distB="0" distL="0" distR="0">
            <wp:extent cx="3143250" cy="2247900"/>
            <wp:effectExtent l="0" t="0" r="0" b="0"/>
            <wp:docPr id="5" name="Рисунок 5" descr="/Files/images/БУЛІН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БУЛІНГ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mgtexttpl"/>
          <w:rFonts w:ascii="Arial" w:hAnsi="Arial" w:cs="Arial"/>
          <w:color w:val="212121"/>
          <w:sz w:val="20"/>
          <w:szCs w:val="20"/>
        </w:rPr>
        <w:t> </w:t>
      </w:r>
      <w:r>
        <w:rPr>
          <w:rFonts w:ascii="Arial" w:hAnsi="Arial" w:cs="Arial"/>
          <w:noProof/>
          <w:color w:val="212121"/>
          <w:sz w:val="20"/>
          <w:szCs w:val="20"/>
        </w:rPr>
        <w:drawing>
          <wp:inline distT="0" distB="0" distL="0" distR="0">
            <wp:extent cx="3143250" cy="2247900"/>
            <wp:effectExtent l="0" t="0" r="0" b="0"/>
            <wp:docPr id="4" name="Рисунок 4" descr="/Files/images/БУЛІНГ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Files/images/БУЛІНГ 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mgtexttpl"/>
          <w:rFonts w:ascii="Arial" w:hAnsi="Arial" w:cs="Arial"/>
          <w:color w:val="212121"/>
          <w:sz w:val="20"/>
          <w:szCs w:val="20"/>
        </w:rPr>
        <w:t> </w:t>
      </w:r>
      <w:r>
        <w:rPr>
          <w:rFonts w:ascii="Arial" w:hAnsi="Arial" w:cs="Arial"/>
          <w:noProof/>
          <w:color w:val="212121"/>
          <w:sz w:val="20"/>
          <w:szCs w:val="20"/>
        </w:rPr>
        <w:lastRenderedPageBreak/>
        <w:drawing>
          <wp:inline distT="0" distB="0" distL="0" distR="0">
            <wp:extent cx="3143250" cy="2628900"/>
            <wp:effectExtent l="0" t="0" r="0" b="0"/>
            <wp:docPr id="3" name="Рисунок 3" descr="/Files/images/ДИТИ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Files/images/ДИТИНА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mgtexttpl"/>
          <w:rFonts w:ascii="Arial" w:hAnsi="Arial" w:cs="Arial"/>
          <w:color w:val="212121"/>
          <w:sz w:val="20"/>
          <w:szCs w:val="20"/>
        </w:rPr>
        <w:t> </w:t>
      </w:r>
      <w:r>
        <w:rPr>
          <w:rFonts w:ascii="Arial" w:hAnsi="Arial" w:cs="Arial"/>
          <w:noProof/>
          <w:color w:val="212121"/>
          <w:sz w:val="20"/>
          <w:szCs w:val="20"/>
        </w:rPr>
        <w:drawing>
          <wp:inline distT="0" distB="0" distL="0" distR="0">
            <wp:extent cx="3143250" cy="4333875"/>
            <wp:effectExtent l="0" t="0" r="0" b="9525"/>
            <wp:docPr id="2" name="Рисунок 2" descr="/Files/images/ДИ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Files/images/ДИТИ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mgtexttpl"/>
          <w:rFonts w:ascii="Arial" w:hAnsi="Arial" w:cs="Arial"/>
          <w:color w:val="212121"/>
          <w:sz w:val="20"/>
          <w:szCs w:val="20"/>
        </w:rPr>
        <w:t> </w:t>
      </w:r>
      <w:r>
        <w:rPr>
          <w:rFonts w:ascii="Arial" w:hAnsi="Arial" w:cs="Arial"/>
          <w:noProof/>
          <w:color w:val="212121"/>
          <w:sz w:val="20"/>
          <w:szCs w:val="20"/>
        </w:rPr>
        <w:lastRenderedPageBreak/>
        <w:drawing>
          <wp:inline distT="0" distB="0" distL="0" distR="0">
            <wp:extent cx="3143250" cy="3086100"/>
            <wp:effectExtent l="0" t="0" r="0" b="0"/>
            <wp:docPr id="1" name="Рисунок 1" descr="/Files/images/ДОПОМОГА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Files/images/ДОПОМОГА.jpg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AD" w:rsidRDefault="009063AD" w:rsidP="009063AD">
      <w:pPr>
        <w:pStyle w:val="a3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hyperlink r:id="rId12" w:history="1">
        <w:r>
          <w:rPr>
            <w:rStyle w:val="a6"/>
            <w:rFonts w:ascii="Arial" w:eastAsiaTheme="majorEastAsia" w:hAnsi="Arial" w:cs="Arial"/>
            <w:color w:val="005C9F"/>
            <w:sz w:val="20"/>
            <w:szCs w:val="20"/>
          </w:rPr>
          <w:t>"Профілактика девіантної поведінки у дітей підліткового віку"</w:t>
        </w:r>
      </w:hyperlink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Багато хто з нас живе з відчуттям болю від якого потерпає і тіло і душа. Що ми зазвичай робимо, вперше відчувши біль? Починаємо ковтати пігулки, ніби говорячи йому: «Замовчи, я не бажаю тебе чути!». І на якийсь час біль змовкає, але потім обов’язково дає про себе знати з наростаючою силою, переростаючи в значно серйознішу проблему, яку тільки пігулками не заглушити.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Чому?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Тому, що будь - який біль означає, що ми в повсякденній суєті забули, власне, про себе.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Забули, що шлях до благополуччя, здоров’я і процвітання починається з маленького кроку на зустріч собі. З бажання розплутати клубок життєвих негараздів, розчарувань та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тривог</w:t>
      </w:r>
      <w:proofErr w:type="spellEnd"/>
      <w:r>
        <w:rPr>
          <w:rFonts w:ascii="Arial" w:hAnsi="Arial" w:cs="Arial"/>
          <w:color w:val="212121"/>
          <w:sz w:val="20"/>
          <w:szCs w:val="20"/>
        </w:rPr>
        <w:t>. З відновлення глибинної любові і поваги до самого себе.</w:t>
      </w:r>
    </w:p>
    <w:p w:rsidR="009063AD" w:rsidRDefault="009063AD" w:rsidP="009063AD">
      <w:pPr>
        <w:pStyle w:val="a3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Все можливо, тільки </w:t>
      </w:r>
      <w:r>
        <w:rPr>
          <w:rStyle w:val="a5"/>
          <w:rFonts w:ascii="Arial" w:hAnsi="Arial" w:cs="Arial"/>
          <w:b/>
          <w:bCs/>
          <w:color w:val="212121"/>
          <w:sz w:val="20"/>
          <w:szCs w:val="20"/>
        </w:rPr>
        <w:t>не варто залишатись один на один зі своїми проблемами</w:t>
      </w:r>
      <w:r>
        <w:rPr>
          <w:rStyle w:val="a4"/>
          <w:rFonts w:ascii="Arial" w:hAnsi="Arial" w:cs="Arial"/>
          <w:color w:val="212121"/>
          <w:sz w:val="20"/>
          <w:szCs w:val="20"/>
        </w:rPr>
        <w:t>,</w:t>
      </w:r>
      <w:r>
        <w:rPr>
          <w:rFonts w:ascii="Arial" w:hAnsi="Arial" w:cs="Arial"/>
          <w:color w:val="212121"/>
          <w:sz w:val="20"/>
          <w:szCs w:val="20"/>
        </w:rPr>
        <w:t xml:space="preserve"> адже є психологія - наука, що протягом віків допомагала людині знаходити вихід із найскладніших ситуацій.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Довіртесь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собі, дозвольте психологу вам допомогти, адже </w:t>
      </w:r>
      <w:r>
        <w:rPr>
          <w:rStyle w:val="a4"/>
          <w:rFonts w:ascii="Arial" w:hAnsi="Arial" w:cs="Arial"/>
          <w:color w:val="212121"/>
          <w:sz w:val="20"/>
          <w:szCs w:val="20"/>
        </w:rPr>
        <w:t>Ви варті того, щоб бути щасливими.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Тому – індивідуальна консультація у психолога - це час, який належить тільки Вам! Це час та місце, де можна вільно думати та відчувати, аналізувати та змінюватися ефективно вирішуючи всі свої життєві проблеми.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На консультації у психолога Ви зможете зрозуміти, чому виникають складнощі та проблеми у Вашому житті та як їх можна уникати або долати.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Це можливість поміркувати про себе та своє життя, можливість визначитися з тим, як саме ви хочете жити, які стосунки з навколишніми мати, як зробити своє життя наповненим енергією та натхненням.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На консультації у психолога ви завжди знайдете: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- увагу;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- конфіденційність;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- необхідну допомогу та підтримку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Психолог не дає конкретних порад, не оцінює «правильно – неправильно», «добре – погано». Психолог використовує свої знання, навички, практичний досвід, щоб допомогти Вам побачити та усвідомити причини своїх проблем та шляхи їх вирішення.</w:t>
      </w:r>
    </w:p>
    <w:p w:rsidR="009063AD" w:rsidRDefault="009063AD" w:rsidP="009063AD">
      <w:pPr>
        <w:pStyle w:val="a3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Style w:val="a4"/>
          <w:rFonts w:ascii="Arial" w:hAnsi="Arial" w:cs="Arial"/>
          <w:color w:val="212121"/>
          <w:sz w:val="20"/>
          <w:szCs w:val="20"/>
        </w:rPr>
        <w:t>Суть роботи психолога в школі</w:t>
      </w:r>
      <w:r>
        <w:rPr>
          <w:rFonts w:ascii="Arial" w:hAnsi="Arial" w:cs="Arial"/>
          <w:color w:val="212121"/>
          <w:sz w:val="20"/>
          <w:szCs w:val="20"/>
        </w:rPr>
        <w:t xml:space="preserve"> полягає в пошуку оптимального способу взаємодії дитини, її родини, всіх учасників педагогічного процесу. Його призначення – допомогти дитині адаптуватися до вимог і </w:t>
      </w:r>
      <w:r>
        <w:rPr>
          <w:rFonts w:ascii="Arial" w:hAnsi="Arial" w:cs="Arial"/>
          <w:color w:val="212121"/>
          <w:sz w:val="20"/>
          <w:szCs w:val="20"/>
        </w:rPr>
        <w:lastRenderedPageBreak/>
        <w:t>правил школи, а педагогам у створенні умов для успішного навчання і розвитку дитини, свого певного комфортного внутрішнього середовища. Психологічний супровід навчання і виховання будується, виходячи з особливостей навчального закладу, контингенту учнів, традицій і творчого потенціалу педагогічного колективу, на виборі індивідуального «маршруту» супроводу, тобто програм, спрямованих не лише на вирішення проблем і ускладнень, але й на їх запобігання.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Беручи до уваги всі перелічені фактори слід зазначити, що в нашій школі психологічна робота за своєю спрямованістю ділиться на три напрями: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робота з учнями;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робота з педагогічним колективом;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робота з батьками.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За своєю структурою всі напрямки містять практично одні й ті ж самі види роботи.</w:t>
      </w:r>
    </w:p>
    <w:p w:rsidR="009063AD" w:rsidRDefault="009063AD" w:rsidP="009063AD">
      <w:pPr>
        <w:pStyle w:val="6"/>
        <w:spacing w:before="0" w:beforeAutospacing="0" w:after="0" w:afterAutospacing="0" w:line="295" w:lineRule="atLeast"/>
        <w:rPr>
          <w:rFonts w:ascii="Arial" w:hAnsi="Arial" w:cs="Arial"/>
          <w:color w:val="CF1641"/>
          <w:sz w:val="24"/>
          <w:szCs w:val="24"/>
        </w:rPr>
      </w:pPr>
      <w:r>
        <w:rPr>
          <w:rFonts w:ascii="Arial" w:hAnsi="Arial" w:cs="Arial"/>
          <w:color w:val="CF1641"/>
          <w:sz w:val="24"/>
          <w:szCs w:val="24"/>
        </w:rPr>
        <w:t>І. Робота з учнями.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Складається із профілактичної, діагностичної та корекційно-розвивальної діяльності.</w:t>
      </w:r>
    </w:p>
    <w:p w:rsidR="009063AD" w:rsidRDefault="009063AD" w:rsidP="009063AD">
      <w:pPr>
        <w:pStyle w:val="a3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212121"/>
          <w:sz w:val="20"/>
          <w:szCs w:val="20"/>
        </w:rPr>
        <w:t>До профілактичної діяльності можна віднести: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• проведення профілактичних лекцій за різноманітними темами, серед яких профілактика тютюнопаління, алкоголізму та наркозалежності, попередження насильницької поведінки і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т.п</w:t>
      </w:r>
      <w:proofErr w:type="spellEnd"/>
      <w:r>
        <w:rPr>
          <w:rFonts w:ascii="Arial" w:hAnsi="Arial" w:cs="Arial"/>
          <w:color w:val="212121"/>
          <w:sz w:val="20"/>
          <w:szCs w:val="20"/>
        </w:rPr>
        <w:t>.;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ознайомлення із статистичними даними щодо запропонованих тем, створення власної статистики;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проведення інтерактивних занять, ігор, круглих столів, диспутів;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• перегляд відео матеріалів з метою попередження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адиктивної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поведінки.</w:t>
      </w:r>
    </w:p>
    <w:p w:rsidR="009063AD" w:rsidRDefault="009063AD" w:rsidP="009063AD">
      <w:pPr>
        <w:pStyle w:val="a3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212121"/>
          <w:sz w:val="20"/>
          <w:szCs w:val="20"/>
        </w:rPr>
        <w:t>Діагностична робота передбачає: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дослідження психологічної адаптації учнів 1-х, 5-х та 10-х класів;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дослідження пізнавальної сфери школяра (увага, пам`ять, мислення);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• дослідження професійних здібностей і нахилів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старшоклассників</w:t>
      </w:r>
      <w:proofErr w:type="spellEnd"/>
      <w:r>
        <w:rPr>
          <w:rFonts w:ascii="Arial" w:hAnsi="Arial" w:cs="Arial"/>
          <w:color w:val="212121"/>
          <w:sz w:val="20"/>
          <w:szCs w:val="20"/>
        </w:rPr>
        <w:t>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дослідження особливостей емоційної сфери учня та його особистості в цілому;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дослідження мотиваційної сфери і спрямованості особистості учня;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• дослідження міжособистісних стосунків та взаємин в колективі та родині.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При цьому застосовується багато психологічних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методик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з постійним оновленням методичного арсеналу.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Особлива увага приділяється дослідженню особистісної сфери і в першу чергу психофізіологічних показників.</w:t>
      </w:r>
    </w:p>
    <w:p w:rsidR="009063AD" w:rsidRDefault="009063AD" w:rsidP="009063AD">
      <w:pPr>
        <w:pStyle w:val="a3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212121"/>
          <w:sz w:val="20"/>
          <w:szCs w:val="20"/>
        </w:rPr>
        <w:t>Корекційно-розвивальна робота</w:t>
      </w:r>
      <w:r>
        <w:rPr>
          <w:rFonts w:ascii="Arial" w:hAnsi="Arial" w:cs="Arial"/>
          <w:color w:val="212121"/>
          <w:sz w:val="20"/>
          <w:szCs w:val="20"/>
        </w:rPr>
        <w:t> ведеться переважно за індивідуальним запитом (індивідуальною потребою).</w:t>
      </w:r>
    </w:p>
    <w:p w:rsidR="009063AD" w:rsidRDefault="009063AD" w:rsidP="009063AD">
      <w:pPr>
        <w:pStyle w:val="a3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212121"/>
          <w:sz w:val="20"/>
          <w:szCs w:val="20"/>
        </w:rPr>
        <w:t>Консультативна, просвітницька, навчальна діяльність</w:t>
      </w:r>
      <w:r>
        <w:rPr>
          <w:rFonts w:ascii="Arial" w:hAnsi="Arial" w:cs="Arial"/>
          <w:color w:val="212121"/>
          <w:sz w:val="20"/>
          <w:szCs w:val="20"/>
        </w:rPr>
        <w:t> включає в себе велику кількість ознайомчих бесід, зустрічей з цікавими людьми, з представниками соціальної служби, громадських та молодіжних організацій. Також сюди можна віднести перегляд відео матеріалів, створення власних сценаріїв і фільмів на різноманітні актуальні теми. Проводиться консультування з питань адаптації до нових умов навчання, складових успіху сучасної молодої людини, мотивації і результативності навчання.</w:t>
      </w:r>
    </w:p>
    <w:p w:rsidR="009063AD" w:rsidRDefault="009063AD" w:rsidP="009063AD">
      <w:pPr>
        <w:pStyle w:val="6"/>
        <w:spacing w:before="0" w:beforeAutospacing="0" w:after="0" w:afterAutospacing="0" w:line="295" w:lineRule="atLeast"/>
        <w:rPr>
          <w:rFonts w:ascii="Arial" w:hAnsi="Arial" w:cs="Arial"/>
          <w:color w:val="CF1641"/>
          <w:sz w:val="24"/>
          <w:szCs w:val="24"/>
        </w:rPr>
      </w:pPr>
      <w:r>
        <w:rPr>
          <w:rFonts w:ascii="Arial" w:hAnsi="Arial" w:cs="Arial"/>
          <w:color w:val="CF1641"/>
          <w:sz w:val="24"/>
          <w:szCs w:val="24"/>
        </w:rPr>
        <w:t>ІІ. Робота з педагогічним колективом: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Містить в собі дослідження особистісної сфери учителя, міжособистісних взаємин (взаємин в педагогічному колективі), факторів, що сприяють або заважають розвитку вчителя, виявляють стиль спілкування з учнями і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т.п</w:t>
      </w:r>
      <w:proofErr w:type="spellEnd"/>
      <w:r>
        <w:rPr>
          <w:rFonts w:ascii="Arial" w:hAnsi="Arial" w:cs="Arial"/>
          <w:color w:val="212121"/>
          <w:sz w:val="20"/>
          <w:szCs w:val="20"/>
        </w:rPr>
        <w:t>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lastRenderedPageBreak/>
        <w:t>Крім того, педагогічний колектив повинен бути завжди в курсі останніх психологічних новинок, починаючи від оптимізації міжособистісного спілкування, і, закінчуючи особливостями поведінки людей, схильних до адитивної поведінки.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Для цього ми широко використовуємо психологічні тренінги,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арттерапевтичні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заняття для вчителів з метою релаксації, а також стимуляції їх творчого потенціалу.</w:t>
      </w:r>
    </w:p>
    <w:p w:rsidR="009063AD" w:rsidRDefault="009063AD" w:rsidP="009063AD">
      <w:pPr>
        <w:pStyle w:val="6"/>
        <w:spacing w:before="0" w:beforeAutospacing="0" w:after="0" w:afterAutospacing="0" w:line="295" w:lineRule="atLeast"/>
        <w:rPr>
          <w:rFonts w:ascii="Arial" w:hAnsi="Arial" w:cs="Arial"/>
          <w:color w:val="CF1641"/>
          <w:sz w:val="24"/>
          <w:szCs w:val="24"/>
        </w:rPr>
      </w:pPr>
      <w:r>
        <w:rPr>
          <w:rFonts w:ascii="Arial" w:hAnsi="Arial" w:cs="Arial"/>
          <w:color w:val="CF1641"/>
          <w:sz w:val="24"/>
          <w:szCs w:val="24"/>
        </w:rPr>
        <w:t>ІІІ. Робота з батьками: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Так само, як і напрями роботи з учнями та вчителями, робота з батьками здійснюється якомога різнобічно: це і просвітницькі виступи на батьківських зборах, і розробка буклетів з актуальних питань (висвітлення проблем і надання порад); вивчення міжособистісних стосунків (дитина – батьки, батьки – батьки, батьки – учителі, учителі – учні) та вивчення «задоволеності» чи «незадоволеності» роботою школи з боку батьків. З батьками працюємо як у групах , так і індивідуально.</w:t>
      </w:r>
    </w:p>
    <w:p w:rsidR="009063AD" w:rsidRDefault="009063AD" w:rsidP="009063AD">
      <w:pPr>
        <w:pStyle w:val="6"/>
        <w:spacing w:before="0" w:beforeAutospacing="0" w:after="0" w:afterAutospacing="0" w:line="295" w:lineRule="atLeast"/>
        <w:rPr>
          <w:rFonts w:ascii="Arial" w:hAnsi="Arial" w:cs="Arial"/>
          <w:color w:val="CF1641"/>
          <w:sz w:val="24"/>
          <w:szCs w:val="24"/>
        </w:rPr>
      </w:pPr>
      <w:r>
        <w:rPr>
          <w:rFonts w:ascii="Arial" w:hAnsi="Arial" w:cs="Arial"/>
          <w:color w:val="CF1641"/>
          <w:sz w:val="24"/>
          <w:szCs w:val="24"/>
        </w:rPr>
        <w:t>ІV. Навчальна діяльність психолога.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Підготовка до різних конкурсів, змагань, різноманітних зборів, засідань, олімпіади з педагогіки та психології, тижня психології та ін.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Аналітична робота полягає у зведенні всіх існуючих даних щодо кожного класу і кожного учня. На базі цих даних робляться висновки та певні рекомендації для учнів, для їх батьків, вчителів стосовно вирішення виявлених проблем. Рекомендації можуть бути універсальними (одні й ті самі для кожного учня і для кожного класу), а можуть бути індивідуальними. Рекомендації дозволяють застосовувати індивідуальний підхід для кожного, особливо до тих, хто потрапляє у створену картотеку дітей «групи ризику». Можуть бути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спрогнозовані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й описані певні варіанти поведінки окремих учнів у різних навчальних або критичних, стресових ситуаціях.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Системна комплексна робота психолога, класних керівників, учителів, батьків, спрямована на дітей, дає позитивні результати.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Накопичений досвід реалізації різноманітних форм взаємодії учнями, педагогами і батьками дозволяє стверджувати, що кожна з них окремо дає можливість досягти поставленої цілі. Однак, комплексне використання всіх цих форм дає набагато відчутніші результати, сприяє вирішенню вузьких задач, дозволяє вибудувати індивідуальний психолого-педагогічний підхід для кожної дитини.</w:t>
      </w:r>
    </w:p>
    <w:p w:rsidR="009063AD" w:rsidRDefault="009063AD" w:rsidP="009063AD">
      <w:pPr>
        <w:pStyle w:val="4"/>
        <w:spacing w:before="0" w:line="295" w:lineRule="atLeast"/>
        <w:rPr>
          <w:rFonts w:ascii="Arial" w:hAnsi="Arial" w:cs="Arial"/>
          <w:color w:val="CF1641"/>
          <w:sz w:val="28"/>
          <w:szCs w:val="28"/>
        </w:rPr>
      </w:pPr>
      <w:r>
        <w:rPr>
          <w:rFonts w:ascii="Arial" w:hAnsi="Arial" w:cs="Arial"/>
          <w:color w:val="CF1641"/>
          <w:sz w:val="28"/>
          <w:szCs w:val="28"/>
        </w:rPr>
        <w:t>СЕРЕДНЯ ШКОЛА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У школярів середньої школи під час підліткової кризи зазвичай страждає навчальна мотивація, тому що в мозку в цей час інші завдання. Підлітковий вік – це час, коли мозок складно сприймає нову інформацію. Тоді відбувається так званий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синаптичний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прунінг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– відкидання невикористаних нейронних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зв’язків</w:t>
      </w:r>
      <w:proofErr w:type="spellEnd"/>
      <w:r>
        <w:rPr>
          <w:rFonts w:ascii="Arial" w:hAnsi="Arial" w:cs="Arial"/>
          <w:color w:val="212121"/>
          <w:sz w:val="20"/>
          <w:szCs w:val="20"/>
        </w:rPr>
        <w:t>. Щоб це відбулося, треба обмежити приймання нової інформації.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Дитина в цей момент стає дуже сонливою і починає трохи “гальмувати”. У неї потерпає довгострокова пам’ять. Вона, не те що б не хоче – а фізично не може запам’ятовувати обсяги інформації, які їй пропонують. Її мозок має інші завдання. Можна сказати, як не шкода це визнавати, що в середній школі мотивації до навчання практично немає, або вона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зароджується.Ще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Лєв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Толстой казав, що існує “пустеля отроцтва”. Це саме про те, що переживають підлітки. Мало того, що це криза самотності, криза особистості 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1.Для підлітків добре, якщо їхній робочий день і день взагалі починається не о 8:30, а хоча б на годину пізніше. Це був би величезний внесок у їхнє здоров’я. Адже їхні потреби у сні більші, ніж зазвичай.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2.Підлітки чинять опір материнській фігурі, вчителькам дуже складно працювати з підлітками. Якщо мама ще й починає керувати його навчанням – це вдвічі гірше. Тому було б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чудоворазом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із підлітком обрати та встановити певний звуковий сигнал, який кличе його робити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уроки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. Так можна організувати весь денний розклад. Чим менше материнського голосу, який наказує, що робити, – тим краще. Усе, що стосується наказів, краще перенести в повідомлення у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месенджер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чи якісь звукові сигнали.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3.Підлітку важливо, аби ми бачили в ньому авторитетну фігуру. Тож якщо ми зараз перекладемо частину родинної відповідальності на нього, якщо він готовий її взяти, – це буде внесок і в наші стосунки, і у відчуття сили самим підлітком.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lastRenderedPageBreak/>
        <w:t xml:space="preserve">Ми можемо поставити пряме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запитання:“Чим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я можу бути для тебе корисним, що я можу зробити для тебе зараз?”. Наступний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крок:“Я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не хочу, аби твій день перетворювався на суцільне навчання,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давай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подумаємо, що там буде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ще”.Щодо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навчання можна сказати:“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Давай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сплануємо, скільки часу потрібно на кожен предмет, і скажи мені сам – тебе контролювати чи не треба?”.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4.Треба запитати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підлітка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, як краще облаштувати його місце. І тут, оскільки ми маємо справу зі спротивом, можливо, підліток вирішить робити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уроки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на підлозі, лежачи. Треба поставитись до цього з розумінням – це також буде внесок у стосунки і в повагу до особистого простору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підлітка</w:t>
      </w:r>
      <w:proofErr w:type="spellEnd"/>
      <w:r>
        <w:rPr>
          <w:rFonts w:ascii="Arial" w:hAnsi="Arial" w:cs="Arial"/>
          <w:color w:val="212121"/>
          <w:sz w:val="20"/>
          <w:szCs w:val="20"/>
        </w:rPr>
        <w:t>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5.Якщо підліток відчуває, що його контролюють – він буде бунтувати. Але йому також важливо бачити, що якщо він щось зробив – це він, умовно кажучи, зробив не даремно. Треба говорити, як ви цінуєте те, що він робить.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6.Підліток може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спитати:“Чому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я маю це все робити, якщо ти взагалі нічого не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робиш?”.Ми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можемо вимагати чогось від дитини тільки тоді, коли їй є, що від нас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дзеркалити</w:t>
      </w:r>
      <w:proofErr w:type="spellEnd"/>
      <w:r>
        <w:rPr>
          <w:rFonts w:ascii="Arial" w:hAnsi="Arial" w:cs="Arial"/>
          <w:color w:val="212121"/>
          <w:sz w:val="20"/>
          <w:szCs w:val="20"/>
        </w:rPr>
        <w:t>. Я можу очікувати, що мої діти займаються зарядкою, якщо я сама займаюсь. Вони мають бачити, що ми вчимось або працюємо з дому.</w:t>
      </w:r>
    </w:p>
    <w:p w:rsidR="009063AD" w:rsidRDefault="009063AD" w:rsidP="009063AD">
      <w:pPr>
        <w:pStyle w:val="4"/>
        <w:spacing w:before="0" w:line="295" w:lineRule="atLeast"/>
        <w:rPr>
          <w:rFonts w:ascii="Arial" w:hAnsi="Arial" w:cs="Arial"/>
          <w:color w:val="CF1641"/>
          <w:sz w:val="28"/>
          <w:szCs w:val="28"/>
        </w:rPr>
      </w:pPr>
      <w:r>
        <w:rPr>
          <w:rFonts w:ascii="Arial" w:hAnsi="Arial" w:cs="Arial"/>
          <w:color w:val="CF1641"/>
          <w:sz w:val="28"/>
          <w:szCs w:val="28"/>
        </w:rPr>
        <w:t>СТАРША ШКОЛА</w:t>
      </w:r>
    </w:p>
    <w:p w:rsidR="009063AD" w:rsidRDefault="009063AD" w:rsidP="009063AD">
      <w:pPr>
        <w:pStyle w:val="a3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Учні старшої школи вже націлені на результат. Якщо дитина нормально розвивається і дорослішає, у неї вже формується внутрішня мотивація до навчання. Така дитина буде сама шукати, де ще знайти інформацію, що їй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потрібна.Тут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ми можемо допомогти, розповідаючи їй про онлайн-курси, які ми самі бачили, різні джерела інформації з питань, що цікавлять дитину.</w:t>
      </w:r>
    </w:p>
    <w:p w:rsidR="0088584E" w:rsidRPr="00937F60" w:rsidRDefault="0088584E" w:rsidP="00937F60"/>
    <w:sectPr w:rsidR="0088584E" w:rsidRPr="00937F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045"/>
    <w:multiLevelType w:val="multilevel"/>
    <w:tmpl w:val="3F8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77DAE"/>
    <w:multiLevelType w:val="multilevel"/>
    <w:tmpl w:val="8DC2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26DF7"/>
    <w:multiLevelType w:val="multilevel"/>
    <w:tmpl w:val="F5D6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107"/>
    <w:multiLevelType w:val="multilevel"/>
    <w:tmpl w:val="DEC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067B1"/>
    <w:multiLevelType w:val="multilevel"/>
    <w:tmpl w:val="59C4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57574"/>
    <w:multiLevelType w:val="multilevel"/>
    <w:tmpl w:val="59F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A3A6A"/>
    <w:multiLevelType w:val="multilevel"/>
    <w:tmpl w:val="8200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02B6F"/>
    <w:multiLevelType w:val="multilevel"/>
    <w:tmpl w:val="078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562F8"/>
    <w:multiLevelType w:val="multilevel"/>
    <w:tmpl w:val="401C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C2"/>
    <w:rsid w:val="003C68FF"/>
    <w:rsid w:val="005E6DC2"/>
    <w:rsid w:val="0088584E"/>
    <w:rsid w:val="009063AD"/>
    <w:rsid w:val="009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A9CA"/>
  <w15:chartTrackingRefBased/>
  <w15:docId w15:val="{D82B62EE-55EB-41E7-AD58-EB603193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6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3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link w:val="60"/>
    <w:uiPriority w:val="9"/>
    <w:qFormat/>
    <w:rsid w:val="003C68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8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C68F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3C68FF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3C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7F60"/>
    <w:rPr>
      <w:b/>
      <w:bCs/>
    </w:rPr>
  </w:style>
  <w:style w:type="character" w:styleId="a5">
    <w:name w:val="Emphasis"/>
    <w:basedOn w:val="a0"/>
    <w:uiPriority w:val="20"/>
    <w:qFormat/>
    <w:rsid w:val="00937F6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06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63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9063AD"/>
    <w:rPr>
      <w:color w:val="0000FF"/>
      <w:u w:val="single"/>
    </w:rPr>
  </w:style>
  <w:style w:type="character" w:customStyle="1" w:styleId="imgtexttpl">
    <w:name w:val="img_text_tpl"/>
    <w:basedOn w:val="a0"/>
    <w:rsid w:val="0090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school121.edu.kh.ua/Files/downloads/%D0%9C%D0%BE%D1%81%D0%BA%D0%BE%D0%B2%D1%87%D0%B5%D0%BD%D0%BA%D0%BE%20%D0%BF%D1%80%D0%B5%D0%B7%D0%B5%D0%BD%D1%82%D0%B0%D1%86%D1%96%D1%8F%20%D1%81%D0%B5%D0%BC%D1%96%D0%BD%D0%B0%D1%80%202017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school121.edu.kh.ua/Files/downloads/%D0%92%D0%B8%D1%81%D1%82%D1%83%D0%BF%20%D0%9C%D0%BE%D1%81%D0%BA%D0%BE%D0%B2%D1%87%D0%B5%D0%BD%D0%BA%D0%BE%20%D0%92.%D0%92..doc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7149</Words>
  <Characters>4076</Characters>
  <Application>Microsoft Office Word</Application>
  <DocSecurity>0</DocSecurity>
  <Lines>33</Lines>
  <Paragraphs>22</Paragraphs>
  <ScaleCrop>false</ScaleCrop>
  <Company>SPecialiST RePack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4</cp:revision>
  <dcterms:created xsi:type="dcterms:W3CDTF">2020-10-22T11:02:00Z</dcterms:created>
  <dcterms:modified xsi:type="dcterms:W3CDTF">2020-10-22T11:23:00Z</dcterms:modified>
</cp:coreProperties>
</file>