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382" w:rsidRPr="007C7382" w:rsidRDefault="007C7382" w:rsidP="007C7382">
      <w:pPr>
        <w:pStyle w:val="2"/>
        <w:spacing w:before="0" w:beforeAutospacing="0" w:after="0" w:afterAutospacing="0" w:line="295" w:lineRule="atLeast"/>
        <w:rPr>
          <w:b w:val="0"/>
          <w:bCs w:val="0"/>
          <w:color w:val="CF1641"/>
          <w:sz w:val="28"/>
          <w:szCs w:val="28"/>
        </w:rPr>
      </w:pPr>
      <w:bookmarkStart w:id="0" w:name="_GoBack"/>
      <w:r w:rsidRPr="007C7382">
        <w:rPr>
          <w:rStyle w:val="a3"/>
          <w:b/>
          <w:bCs/>
          <w:color w:val="CF1641"/>
          <w:sz w:val="28"/>
          <w:szCs w:val="28"/>
        </w:rPr>
        <w:t>БАТЬКІВСЬКА ГРОМАДСЬКІСТЬ - важливий союзник школи у вихованні учнів.</w:t>
      </w:r>
    </w:p>
    <w:p w:rsidR="007C7382" w:rsidRPr="007C7382" w:rsidRDefault="007C7382" w:rsidP="007C7382">
      <w:pPr>
        <w:pStyle w:val="5"/>
        <w:spacing w:before="0" w:beforeAutospacing="0" w:after="0" w:afterAutospacing="0" w:line="295" w:lineRule="atLeast"/>
        <w:rPr>
          <w:color w:val="CF1641"/>
          <w:sz w:val="28"/>
          <w:szCs w:val="28"/>
        </w:rPr>
      </w:pPr>
      <w:r w:rsidRPr="007C7382">
        <w:rPr>
          <w:color w:val="CF1641"/>
          <w:sz w:val="28"/>
          <w:szCs w:val="28"/>
        </w:rPr>
        <w:t>Класний керівник, шкільний психолог і батьки учнів повинні чітко уявляти основні напрямки своєї співпраці:</w:t>
      </w:r>
    </w:p>
    <w:p w:rsidR="007C7382" w:rsidRPr="007C7382" w:rsidRDefault="007C7382" w:rsidP="007C7382">
      <w:pPr>
        <w:pStyle w:val="a4"/>
        <w:spacing w:before="0" w:beforeAutospacing="0" w:after="0" w:afterAutospacing="0"/>
        <w:rPr>
          <w:color w:val="212121"/>
          <w:sz w:val="28"/>
          <w:szCs w:val="28"/>
        </w:rPr>
      </w:pPr>
      <w:r w:rsidRPr="007C7382">
        <w:rPr>
          <w:color w:val="212121"/>
          <w:sz w:val="28"/>
          <w:szCs w:val="28"/>
        </w:rPr>
        <w:t>·</w:t>
      </w:r>
      <w:r w:rsidRPr="007C7382">
        <w:rPr>
          <w:rStyle w:val="a3"/>
          <w:color w:val="212121"/>
          <w:sz w:val="28"/>
          <w:szCs w:val="28"/>
        </w:rPr>
        <w:t> розвиток гуманного виховного середовища класу, яке створює можливості для задоволення потреб дитини у пізнанні, спілкуванні і забезпечує вільне самовираження в різноманітній діяльності;</w:t>
      </w:r>
    </w:p>
    <w:p w:rsidR="007C7382" w:rsidRPr="007C7382" w:rsidRDefault="007C7382" w:rsidP="007C7382">
      <w:pPr>
        <w:pStyle w:val="a4"/>
        <w:spacing w:before="0" w:beforeAutospacing="0" w:after="0" w:afterAutospacing="0"/>
        <w:rPr>
          <w:color w:val="212121"/>
          <w:sz w:val="28"/>
          <w:szCs w:val="28"/>
        </w:rPr>
      </w:pPr>
      <w:r w:rsidRPr="007C7382">
        <w:rPr>
          <w:rStyle w:val="a3"/>
          <w:color w:val="212121"/>
          <w:sz w:val="28"/>
          <w:szCs w:val="28"/>
        </w:rPr>
        <w:t>· контроль за дотриманням прав і свободи дитини у школі та в сім’ї, виключення будь-якого – морального, фізичного – насилля над дитиною;</w:t>
      </w:r>
    </w:p>
    <w:p w:rsidR="007C7382" w:rsidRPr="007C7382" w:rsidRDefault="007C7382" w:rsidP="007C7382">
      <w:pPr>
        <w:pStyle w:val="a4"/>
        <w:spacing w:before="0" w:beforeAutospacing="0" w:after="0" w:afterAutospacing="0"/>
        <w:rPr>
          <w:color w:val="212121"/>
          <w:sz w:val="28"/>
          <w:szCs w:val="28"/>
        </w:rPr>
      </w:pPr>
      <w:r w:rsidRPr="007C7382">
        <w:rPr>
          <w:rStyle w:val="a3"/>
          <w:color w:val="212121"/>
          <w:sz w:val="28"/>
          <w:szCs w:val="28"/>
        </w:rPr>
        <w:t>· створення можливостей для розумного і культурно-ціннісного дозвілля дітей;</w:t>
      </w:r>
    </w:p>
    <w:p w:rsidR="007C7382" w:rsidRPr="007C7382" w:rsidRDefault="007C7382" w:rsidP="007C7382">
      <w:pPr>
        <w:pStyle w:val="a4"/>
        <w:spacing w:before="0" w:beforeAutospacing="0" w:after="0" w:afterAutospacing="0"/>
        <w:rPr>
          <w:color w:val="212121"/>
          <w:sz w:val="28"/>
          <w:szCs w:val="28"/>
        </w:rPr>
      </w:pPr>
      <w:r w:rsidRPr="007C7382">
        <w:rPr>
          <w:rStyle w:val="a3"/>
          <w:color w:val="212121"/>
          <w:sz w:val="28"/>
          <w:szCs w:val="28"/>
        </w:rPr>
        <w:t xml:space="preserve">· контроль за дотриманням належних умов щодо зміцнення здоров’я дітей, за посиленням </w:t>
      </w:r>
      <w:proofErr w:type="spellStart"/>
      <w:r w:rsidRPr="007C7382">
        <w:rPr>
          <w:rStyle w:val="a3"/>
          <w:color w:val="212121"/>
          <w:sz w:val="28"/>
          <w:szCs w:val="28"/>
        </w:rPr>
        <w:t>здоров’єзберігаючих</w:t>
      </w:r>
      <w:proofErr w:type="spellEnd"/>
      <w:r w:rsidRPr="007C7382">
        <w:rPr>
          <w:rStyle w:val="a3"/>
          <w:color w:val="212121"/>
          <w:sz w:val="28"/>
          <w:szCs w:val="28"/>
        </w:rPr>
        <w:t xml:space="preserve"> заходів у школі;</w:t>
      </w:r>
    </w:p>
    <w:p w:rsidR="007C7382" w:rsidRPr="007C7382" w:rsidRDefault="007C7382" w:rsidP="007C7382">
      <w:pPr>
        <w:pStyle w:val="a4"/>
        <w:spacing w:before="0" w:beforeAutospacing="0" w:after="0" w:afterAutospacing="0"/>
        <w:rPr>
          <w:color w:val="212121"/>
          <w:sz w:val="28"/>
          <w:szCs w:val="28"/>
        </w:rPr>
      </w:pPr>
      <w:r w:rsidRPr="007C7382">
        <w:rPr>
          <w:color w:val="212121"/>
          <w:sz w:val="28"/>
          <w:szCs w:val="28"/>
        </w:rPr>
        <w:t>·</w:t>
      </w:r>
      <w:r w:rsidRPr="007C7382">
        <w:rPr>
          <w:rStyle w:val="a3"/>
          <w:color w:val="212121"/>
          <w:sz w:val="28"/>
          <w:szCs w:val="28"/>
        </w:rPr>
        <w:t xml:space="preserve"> створення і розвиток постійних </w:t>
      </w:r>
      <w:proofErr w:type="spellStart"/>
      <w:r w:rsidRPr="007C7382">
        <w:rPr>
          <w:rStyle w:val="a3"/>
          <w:color w:val="212121"/>
          <w:sz w:val="28"/>
          <w:szCs w:val="28"/>
        </w:rPr>
        <w:t>зв’язків</w:t>
      </w:r>
      <w:proofErr w:type="spellEnd"/>
      <w:r w:rsidRPr="007C7382">
        <w:rPr>
          <w:rStyle w:val="a3"/>
          <w:color w:val="212121"/>
          <w:sz w:val="28"/>
          <w:szCs w:val="28"/>
        </w:rPr>
        <w:t xml:space="preserve"> класу із соціальним середовищем.</w:t>
      </w:r>
    </w:p>
    <w:p w:rsidR="007C7382" w:rsidRPr="007C7382" w:rsidRDefault="007C7382" w:rsidP="007C7382">
      <w:pPr>
        <w:pStyle w:val="a4"/>
        <w:spacing w:before="0" w:beforeAutospacing="0" w:after="0" w:afterAutospacing="0"/>
        <w:rPr>
          <w:color w:val="212121"/>
          <w:sz w:val="28"/>
          <w:szCs w:val="28"/>
        </w:rPr>
      </w:pPr>
      <w:r w:rsidRPr="007C7382">
        <w:rPr>
          <w:rStyle w:val="a3"/>
          <w:color w:val="212121"/>
          <w:sz w:val="28"/>
          <w:szCs w:val="28"/>
        </w:rPr>
        <w:t>Стратегічні напрямки своєї педагогічної турботи класний керівник може реалізувати завдяки згуртуванню батьківського колективу для досягнення загальних виховних цілей. Допоможуть у цьому батьківські збори, проведення яких відбувається у формі неформальних зустрічей, бесід за «круглим столом», спілкування, обміну досвідом. З усіма батьками на зборах достатньо зустрітись двічі на семестр, а проблеми, що виникають в процесі роботи, необхідно вирішувати індивідуально.</w:t>
      </w:r>
    </w:p>
    <w:p w:rsidR="007C7382" w:rsidRPr="007C7382" w:rsidRDefault="007C7382" w:rsidP="007C7382">
      <w:pPr>
        <w:pStyle w:val="a4"/>
        <w:spacing w:before="0" w:beforeAutospacing="0" w:after="0" w:afterAutospacing="0"/>
        <w:rPr>
          <w:color w:val="212121"/>
          <w:sz w:val="28"/>
          <w:szCs w:val="28"/>
        </w:rPr>
      </w:pPr>
      <w:r w:rsidRPr="007C7382">
        <w:rPr>
          <w:rStyle w:val="a3"/>
          <w:color w:val="212121"/>
          <w:sz w:val="28"/>
          <w:szCs w:val="28"/>
        </w:rPr>
        <w:t>Можна залучати батьків до проведення різних заходів, свят, походів, екскурсій, зустрічей. Доцільною і корисною є також організація вечорів запитань і відповідей, днів відкритих дверей, консультацій для батьків, читацьких конференцій, практичних занять.</w:t>
      </w:r>
    </w:p>
    <w:p w:rsidR="007C7382" w:rsidRPr="007C7382" w:rsidRDefault="007C7382" w:rsidP="007C7382">
      <w:pPr>
        <w:pStyle w:val="wymcenter"/>
        <w:spacing w:before="0" w:beforeAutospacing="0" w:after="0" w:afterAutospacing="0"/>
        <w:jc w:val="center"/>
        <w:rPr>
          <w:color w:val="212121"/>
          <w:sz w:val="28"/>
          <w:szCs w:val="28"/>
        </w:rPr>
      </w:pPr>
      <w:r w:rsidRPr="007C7382">
        <w:rPr>
          <w:rStyle w:val="a3"/>
          <w:color w:val="212121"/>
          <w:sz w:val="28"/>
          <w:szCs w:val="28"/>
        </w:rPr>
        <w:t>Тематика класних батьківських зборів має бути різноманітною і торкатися усіх важливих питань виховання й навчання дітей з першого по випускний клас.</w:t>
      </w:r>
    </w:p>
    <w:p w:rsidR="007C7382" w:rsidRPr="007C7382" w:rsidRDefault="007C7382" w:rsidP="007C7382">
      <w:pPr>
        <w:pStyle w:val="1"/>
        <w:spacing w:before="0" w:beforeAutospacing="0" w:after="0" w:afterAutospacing="0" w:line="295" w:lineRule="atLeast"/>
        <w:jc w:val="center"/>
        <w:rPr>
          <w:b w:val="0"/>
          <w:bCs w:val="0"/>
          <w:color w:val="CF1641"/>
          <w:sz w:val="28"/>
          <w:szCs w:val="28"/>
        </w:rPr>
      </w:pPr>
      <w:r w:rsidRPr="007C7382">
        <w:rPr>
          <w:b w:val="0"/>
          <w:bCs w:val="0"/>
          <w:color w:val="CF1641"/>
          <w:sz w:val="28"/>
          <w:szCs w:val="28"/>
        </w:rPr>
        <w:t>ІНФОРМАЦІЯ</w:t>
      </w:r>
    </w:p>
    <w:p w:rsidR="007C7382" w:rsidRPr="007C7382" w:rsidRDefault="007C7382" w:rsidP="007C7382">
      <w:pPr>
        <w:pStyle w:val="3"/>
        <w:spacing w:before="0" w:line="295" w:lineRule="atLeast"/>
        <w:jc w:val="center"/>
        <w:rPr>
          <w:rFonts w:ascii="Times New Roman" w:hAnsi="Times New Roman" w:cs="Times New Roman"/>
          <w:b/>
          <w:bCs/>
          <w:color w:val="CF1641"/>
          <w:sz w:val="28"/>
          <w:szCs w:val="28"/>
        </w:rPr>
      </w:pPr>
      <w:r w:rsidRPr="007C7382">
        <w:rPr>
          <w:rFonts w:ascii="Times New Roman" w:hAnsi="Times New Roman" w:cs="Times New Roman"/>
          <w:color w:val="CF1641"/>
          <w:sz w:val="28"/>
          <w:szCs w:val="28"/>
        </w:rPr>
        <w:t>щодо відповідальності батьків</w:t>
      </w:r>
    </w:p>
    <w:p w:rsidR="007C7382" w:rsidRPr="007C7382" w:rsidRDefault="007C7382" w:rsidP="007C7382">
      <w:pPr>
        <w:pStyle w:val="3"/>
        <w:spacing w:before="0" w:line="295" w:lineRule="atLeast"/>
        <w:jc w:val="center"/>
        <w:rPr>
          <w:rFonts w:ascii="Times New Roman" w:hAnsi="Times New Roman" w:cs="Times New Roman"/>
          <w:color w:val="CF1641"/>
          <w:sz w:val="28"/>
          <w:szCs w:val="28"/>
        </w:rPr>
      </w:pPr>
      <w:r w:rsidRPr="007C7382">
        <w:rPr>
          <w:rFonts w:ascii="Times New Roman" w:hAnsi="Times New Roman" w:cs="Times New Roman"/>
          <w:color w:val="CF1641"/>
          <w:sz w:val="28"/>
          <w:szCs w:val="28"/>
        </w:rPr>
        <w:t>за невиконання обов’язків</w:t>
      </w:r>
    </w:p>
    <w:p w:rsidR="007C7382" w:rsidRPr="007C7382" w:rsidRDefault="007C7382" w:rsidP="007C7382">
      <w:pPr>
        <w:pStyle w:val="3"/>
        <w:spacing w:before="0" w:line="295" w:lineRule="atLeast"/>
        <w:jc w:val="center"/>
        <w:rPr>
          <w:rFonts w:ascii="Times New Roman" w:hAnsi="Times New Roman" w:cs="Times New Roman"/>
          <w:color w:val="CF1641"/>
          <w:sz w:val="28"/>
          <w:szCs w:val="28"/>
        </w:rPr>
      </w:pPr>
      <w:r w:rsidRPr="007C7382">
        <w:rPr>
          <w:rFonts w:ascii="Times New Roman" w:hAnsi="Times New Roman" w:cs="Times New Roman"/>
          <w:color w:val="CF1641"/>
          <w:sz w:val="28"/>
          <w:szCs w:val="28"/>
        </w:rPr>
        <w:t>по вихованню дитини</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Закон України «Про охорону дитинства»</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Стаття 12. Права, обов’язки та відповідальність батьків за виховання та розвиток дитини</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Виховання в сім’ї є першоосновою розвитку особистості дитини.</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lastRenderedPageBreak/>
        <w:t>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Держава надає батькам або особам, які їх замінюють, допомогу у виконанні ними своїх обов’язків щодо виховання дітей, захищає права сім’ї, сприяє розвитку мережі дитячих закладів.</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Позбавлення батьківських прав або відібрання дитини у батьків без позбавлення їх цих прав не звільняє батьків від обов’язку утримувати дітей.</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Порядок і розміри відшкодування витрат на перебування дитини в будинку дитини, дитячому будинку, дитячому будинку-інтернаті, школі-інтернаті, дитячому будинку сімейного типу, прийомній сім’ї, іншому закладі для дітей-сиріт та дітей, позбавлених батьківського піклування, встановлюються законодавством України.</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Батьки або особи, які їх замінюють, несуть відповідальність за порушення прав і обмеження законних інтересів дитини на охорону здоров’я, фізичний і духовний розвиток, навчання, невиконання та ухилення від виконання батьківських обов’язків відповідно до закону.</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У разі відмови від надання дитині необхідної медичної допомоги, якщо це загрожує її здоров’ю, батьки або особи, які їх замінюють, несуть відповідальність згідно з законом. Медичні працівники у разі критичного стану здоров’я дитини, який потребує термінового медичного втручання, зобов’язані попередити батьків або осіб, які їх замінюють, про відповідальність за залишення дитини в небезпеці.</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Цивільний кодекс України</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Стаття 1178. Відшкодування шкоди, завданої малолітньою особою.</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1.Шкода, завдана малолітньою особою (яка не досягла чотирнадцяти років), відшкодовується її батьками (</w:t>
      </w:r>
      <w:proofErr w:type="spellStart"/>
      <w:r w:rsidRPr="007C7382">
        <w:rPr>
          <w:color w:val="212121"/>
          <w:sz w:val="28"/>
          <w:szCs w:val="28"/>
        </w:rPr>
        <w:t>усиновлювачами</w:t>
      </w:r>
      <w:proofErr w:type="spellEnd"/>
      <w:r w:rsidRPr="007C7382">
        <w:rPr>
          <w:color w:val="212121"/>
          <w:sz w:val="28"/>
          <w:szCs w:val="28"/>
        </w:rPr>
        <w:t>) або опікуном чи іншою фізичною особою, яка на правових підставах здійснює виховання малолітньої особи, - якщо вони не доведуть, що шкода не є наслідком несумлінного здійснення або ухилення ними від здійснення виховання та нагляду за малолітньою особою.</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Стаття 1178. Відшкодування шкоди, завданої неповнолітньою особою.</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1.Неповнолітня особа (у віці від чотирнадцяти до вісімнадцяти років) відповідає за завдану шкоду самостійно на загальних підставах.</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lastRenderedPageBreak/>
        <w:t>2. У разі відсутності у малолітньої особи майна, достатнього для відшкодування завданої неї шкоди, ця шкода відшкодовується в частці, якої не вистачає, або в повному обсязі її батьками (</w:t>
      </w:r>
      <w:proofErr w:type="spellStart"/>
      <w:r w:rsidRPr="007C7382">
        <w:rPr>
          <w:color w:val="212121"/>
          <w:sz w:val="28"/>
          <w:szCs w:val="28"/>
        </w:rPr>
        <w:t>усиновлювачами</w:t>
      </w:r>
      <w:proofErr w:type="spellEnd"/>
      <w:r w:rsidRPr="007C7382">
        <w:rPr>
          <w:color w:val="212121"/>
          <w:sz w:val="28"/>
          <w:szCs w:val="28"/>
        </w:rPr>
        <w:t>) або піклувальниками, якщо вони не доведуть, що шкоди було завдано не з їхньої вини.</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 xml:space="preserve">Кодекс </w:t>
      </w:r>
      <w:proofErr w:type="spellStart"/>
      <w:r w:rsidRPr="007C7382">
        <w:rPr>
          <w:color w:val="212121"/>
          <w:sz w:val="28"/>
          <w:szCs w:val="28"/>
        </w:rPr>
        <w:t>Українипро</w:t>
      </w:r>
      <w:proofErr w:type="spellEnd"/>
      <w:r w:rsidRPr="007C7382">
        <w:rPr>
          <w:color w:val="212121"/>
          <w:sz w:val="28"/>
          <w:szCs w:val="28"/>
        </w:rPr>
        <w:t xml:space="preserve"> адміністративні правопорушення</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Стаття 184. Невиконання батьками або особами, що їх замінюють, обов’язків щодо виховання дітей</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Ухилення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неповнолітніх дітей— тягне за собою попередження або накладення штрафу від одного до трьох неоподатковуваних мінімумів доходів громадян.</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Ті самі дії, вчинені повторно протягом року після накладення адміністративного стягнення, -</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тягнуть за собою накладення штрафу від двох до чотирьох неоподатковуваних мінімумів доходів громадян.</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Вчинення неповнолітніми віком від чотирнадцяти до шістнадцяти років правопорушення, відповідальність за яке передбачено цим Кодексом, -</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тягне за собою накладення штрафу на батьків або осіб, які їх замінюють, від трьох до п’яти неоподатковуваних мінімумів доходів громадян.</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Вчинення неповнолітніми діянь, що містять ознаки злочину, відповідальність за які передбачена Кримінальним кодексом України (2001-05, 2002-05), якщо вони не досягли віку, з якого настає кримінальна відповідальність, -</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тягне за собою накладення штрафу на батьків або осіб, що їх замінюють, від десяти до двадцяти неоподатковуваних мінімумів доходів громадян.</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Кримінальний кодекс України</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Стаття 166. Злісне невиконання обов’язків по догляду за дитиною або за особою, щодо якої встановлена опіка чи піклування</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Злісне невиконання батьками, опікунами чи піклувальниками встановлених законом обов’язків по догляду за дитиною або за особою, щодо якої встановлена опіка чи піклування, що спричинило тяжкі наслідки, -</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карається обмеженням волі на строк від двох до п’яти років або позбавленням волі на той самий строк.</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Сімейний кодекс України</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lastRenderedPageBreak/>
        <w:t>Стаття 164. Підстави позбавлення батьківських прав</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1. Мати, батько можуть бути позбавлені судом батьківських прав, якщо вона, він:</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2) ухиляються від виконання своїх обов’язків по вихованню дитини;</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3) жорстоко поводяться з дитиною;</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4) є хронічними алкоголіками або наркоманами;</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5) вдаються до будь-яких видів експлуатації дитини, примушують її до жебракування та бродяжництва;</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6) засуджені за вчинення умисного злочину щодо дитини.</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2. Мати, батько можуть бути позбавлені батьківських прав з підстав, встановлених пунктами 2, 4 і 5 частини першої цієї статті, лише у разі досягнення ними повноліття.</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3. Мати, батько можуть бути позбавлені батьківських прав щодо усіх своїх дітей або когось із них.</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4. Якщо суд при розгляді справи про позбавлення батьківських прав виявить у діях батьків або одного з них ознаки злочину, він порушує кримінальну справу.</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5. Рішення суду про позбавлення батьківських прав після набрання ним законної сили суд надсилає державному органу реєстрації актів цивільного стану за місцем реєстрації народження дитини.</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Закон України «Про освіту»</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Стаття 59. Відповідальність батьків за розвиток дитини</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1. Виховання в сім’ї є першоосновою розвитку дитини як особистості.</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2. На кожного з батьків покладається однакова відповідальність за виховання, навчання і розвиток дитини.</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3. Батьки та особи, які їх замінюють, зобов’язані:</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постійно дбати про фізичне здоров’я, психічний стан дітей, створювати належні умови для розвитку їх природних здібностей;</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lastRenderedPageBreak/>
        <w:t>поважати гідність дитини, виховувати працелюбність, почуття доброти, милосердя, шанобливе ставлення до державної і рідної мови, сім’ї, старших за віком, до народних традицій та звичаїв;</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виховувати повагу до національних, історичних, культурних цінностей українського та інших народів, дбайливе ставлення до історико-культурного надбання та навколишнього природного середовища, любов до своєї країни;</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сприяти здобуттю дітьми освіти у навчальних закладах або забезпечувати повноцінну домашню освіту відповідно до вимог щодо її змісту, рівня та обсягу;</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виховувати повагу до законів, прав, основних свобод людини.</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4. Держава надає батькам і особам, які їх замінюють, допомогу у виконанні ними своїх обов’язків, захищає права сім’ї.</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Закон України «Про загальну середню освіту»</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Стаття 47. Відповідальність за порушення законодавства про загальну середню освіту</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1. Посадові особи і громадяни, винні у порушенні законодавства про загальну середню освіту, несуть відповідальність у порядку, встановленому законами України.</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2. Шкода, заподіяна учнями (вихованцями) загальноосвітньому навчальному закладу, відшкодовується відповідно до законодавства України.</w:t>
      </w:r>
    </w:p>
    <w:p w:rsidR="007C7382" w:rsidRPr="007C7382" w:rsidRDefault="007C7382" w:rsidP="007C7382">
      <w:pPr>
        <w:pStyle w:val="a4"/>
        <w:spacing w:before="0" w:beforeAutospacing="0" w:after="295" w:afterAutospacing="0"/>
        <w:rPr>
          <w:color w:val="212121"/>
          <w:sz w:val="28"/>
          <w:szCs w:val="28"/>
        </w:rPr>
      </w:pPr>
      <w:r w:rsidRPr="007C7382">
        <w:rPr>
          <w:color w:val="212121"/>
          <w:sz w:val="28"/>
          <w:szCs w:val="28"/>
        </w:rPr>
        <w:t>3. 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їх батьківських прав.</w:t>
      </w:r>
    </w:p>
    <w:bookmarkEnd w:id="0"/>
    <w:p w:rsidR="008E42F5" w:rsidRPr="007C7382" w:rsidRDefault="008E42F5">
      <w:pPr>
        <w:rPr>
          <w:rFonts w:ascii="Times New Roman" w:hAnsi="Times New Roman" w:cs="Times New Roman"/>
          <w:sz w:val="28"/>
          <w:szCs w:val="28"/>
        </w:rPr>
      </w:pPr>
    </w:p>
    <w:sectPr w:rsidR="008E42F5" w:rsidRPr="007C73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0516"/>
    <w:multiLevelType w:val="multilevel"/>
    <w:tmpl w:val="A148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84678"/>
    <w:multiLevelType w:val="multilevel"/>
    <w:tmpl w:val="71D2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C385D"/>
    <w:multiLevelType w:val="multilevel"/>
    <w:tmpl w:val="0868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06E24"/>
    <w:multiLevelType w:val="multilevel"/>
    <w:tmpl w:val="30CE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4177D"/>
    <w:multiLevelType w:val="multilevel"/>
    <w:tmpl w:val="87F8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BC59B7"/>
    <w:multiLevelType w:val="multilevel"/>
    <w:tmpl w:val="38D2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E4959"/>
    <w:multiLevelType w:val="multilevel"/>
    <w:tmpl w:val="2D98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30397F"/>
    <w:multiLevelType w:val="multilevel"/>
    <w:tmpl w:val="DFB6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AB715A"/>
    <w:multiLevelType w:val="multilevel"/>
    <w:tmpl w:val="CA08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115ACC"/>
    <w:multiLevelType w:val="multilevel"/>
    <w:tmpl w:val="36AE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4C1FA8"/>
    <w:multiLevelType w:val="multilevel"/>
    <w:tmpl w:val="2E3A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A96F7A"/>
    <w:multiLevelType w:val="multilevel"/>
    <w:tmpl w:val="FB10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BC0F43"/>
    <w:multiLevelType w:val="multilevel"/>
    <w:tmpl w:val="7036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759BD"/>
    <w:multiLevelType w:val="multilevel"/>
    <w:tmpl w:val="055A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C44BAD"/>
    <w:multiLevelType w:val="multilevel"/>
    <w:tmpl w:val="E1C0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E80362"/>
    <w:multiLevelType w:val="multilevel"/>
    <w:tmpl w:val="0DF0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0"/>
  </w:num>
  <w:num w:numId="4">
    <w:abstractNumId w:val="14"/>
  </w:num>
  <w:num w:numId="5">
    <w:abstractNumId w:val="1"/>
  </w:num>
  <w:num w:numId="6">
    <w:abstractNumId w:val="13"/>
  </w:num>
  <w:num w:numId="7">
    <w:abstractNumId w:val="2"/>
  </w:num>
  <w:num w:numId="8">
    <w:abstractNumId w:val="6"/>
  </w:num>
  <w:num w:numId="9">
    <w:abstractNumId w:val="11"/>
  </w:num>
  <w:num w:numId="10">
    <w:abstractNumId w:val="12"/>
  </w:num>
  <w:num w:numId="11">
    <w:abstractNumId w:val="3"/>
  </w:num>
  <w:num w:numId="12">
    <w:abstractNumId w:val="4"/>
  </w:num>
  <w:num w:numId="13">
    <w:abstractNumId w:val="8"/>
  </w:num>
  <w:num w:numId="14">
    <w:abstractNumId w:val="0"/>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C1"/>
    <w:rsid w:val="00250DC1"/>
    <w:rsid w:val="007C7382"/>
    <w:rsid w:val="0083111A"/>
    <w:rsid w:val="008E42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56FC"/>
  <w15:chartTrackingRefBased/>
  <w15:docId w15:val="{33786C47-0963-4A0F-AF66-BCEB761C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311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83111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7C73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0"/>
    <w:uiPriority w:val="9"/>
    <w:qFormat/>
    <w:rsid w:val="0083111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111A"/>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83111A"/>
    <w:rPr>
      <w:rFonts w:ascii="Times New Roman" w:eastAsia="Times New Roman" w:hAnsi="Times New Roman" w:cs="Times New Roman"/>
      <w:b/>
      <w:bCs/>
      <w:sz w:val="36"/>
      <w:szCs w:val="36"/>
      <w:lang w:eastAsia="uk-UA"/>
    </w:rPr>
  </w:style>
  <w:style w:type="character" w:customStyle="1" w:styleId="50">
    <w:name w:val="Заголовок 5 Знак"/>
    <w:basedOn w:val="a0"/>
    <w:link w:val="5"/>
    <w:uiPriority w:val="9"/>
    <w:rsid w:val="0083111A"/>
    <w:rPr>
      <w:rFonts w:ascii="Times New Roman" w:eastAsia="Times New Roman" w:hAnsi="Times New Roman" w:cs="Times New Roman"/>
      <w:b/>
      <w:bCs/>
      <w:sz w:val="20"/>
      <w:szCs w:val="20"/>
      <w:lang w:eastAsia="uk-UA"/>
    </w:rPr>
  </w:style>
  <w:style w:type="character" w:styleId="a3">
    <w:name w:val="Strong"/>
    <w:basedOn w:val="a0"/>
    <w:uiPriority w:val="22"/>
    <w:qFormat/>
    <w:rsid w:val="0083111A"/>
    <w:rPr>
      <w:b/>
      <w:bCs/>
    </w:rPr>
  </w:style>
  <w:style w:type="paragraph" w:styleId="a4">
    <w:name w:val="Normal (Web)"/>
    <w:basedOn w:val="a"/>
    <w:uiPriority w:val="99"/>
    <w:semiHidden/>
    <w:unhideWhenUsed/>
    <w:rsid w:val="008311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7C7382"/>
    <w:rPr>
      <w:rFonts w:asciiTheme="majorHAnsi" w:eastAsiaTheme="majorEastAsia" w:hAnsiTheme="majorHAnsi" w:cstheme="majorBidi"/>
      <w:color w:val="1F4D78" w:themeColor="accent1" w:themeShade="7F"/>
      <w:sz w:val="24"/>
      <w:szCs w:val="24"/>
    </w:rPr>
  </w:style>
  <w:style w:type="paragraph" w:customStyle="1" w:styleId="wymcenter">
    <w:name w:val="wym_center"/>
    <w:basedOn w:val="a"/>
    <w:rsid w:val="007C738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282611">
      <w:bodyDiv w:val="1"/>
      <w:marLeft w:val="0"/>
      <w:marRight w:val="0"/>
      <w:marTop w:val="0"/>
      <w:marBottom w:val="0"/>
      <w:divBdr>
        <w:top w:val="none" w:sz="0" w:space="0" w:color="auto"/>
        <w:left w:val="none" w:sz="0" w:space="0" w:color="auto"/>
        <w:bottom w:val="none" w:sz="0" w:space="0" w:color="auto"/>
        <w:right w:val="none" w:sz="0" w:space="0" w:color="auto"/>
      </w:divBdr>
    </w:div>
    <w:div w:id="142954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6162</Words>
  <Characters>3513</Characters>
  <Application>Microsoft Office Word</Application>
  <DocSecurity>0</DocSecurity>
  <Lines>29</Lines>
  <Paragraphs>19</Paragraphs>
  <ScaleCrop>false</ScaleCrop>
  <Company>SPecialiST RePack</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cp:keywords/>
  <dc:description/>
  <cp:lastModifiedBy>We</cp:lastModifiedBy>
  <cp:revision>3</cp:revision>
  <dcterms:created xsi:type="dcterms:W3CDTF">2020-12-04T15:42:00Z</dcterms:created>
  <dcterms:modified xsi:type="dcterms:W3CDTF">2020-12-04T15:48:00Z</dcterms:modified>
</cp:coreProperties>
</file>