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BA" w:rsidRPr="004404DC" w:rsidRDefault="00F26FBA" w:rsidP="00F26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hAnsi="Times New Roman"/>
          <w:noProof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BA" w:rsidRPr="004404DC" w:rsidRDefault="00F26FBA" w:rsidP="00F26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F26FBA" w:rsidRPr="004404DC" w:rsidRDefault="00F26FBA" w:rsidP="00F26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F26FBA" w:rsidRPr="004404DC" w:rsidRDefault="00F26FBA" w:rsidP="00F26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F26FBA" w:rsidRPr="004404DC" w:rsidRDefault="00F26FBA" w:rsidP="00F26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F26FBA" w:rsidRDefault="00F26FBA" w:rsidP="00F2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FBA" w:rsidRPr="003E3560" w:rsidRDefault="00F26FBA" w:rsidP="00F2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26FBA" w:rsidRPr="003E3560" w:rsidRDefault="00F26FBA" w:rsidP="00F26FBA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29.04.2022</w:t>
      </w:r>
      <w:r w:rsidRPr="00E93E11">
        <w:rPr>
          <w:rFonts w:ascii="Times New Roman" w:hAnsi="Times New Roman" w:cs="Times New Roman"/>
          <w:b/>
        </w:rPr>
        <w:t xml:space="preserve"> р.</w:t>
      </w:r>
      <w:r w:rsidR="008A1C65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683A3E">
        <w:rPr>
          <w:rFonts w:ascii="Times New Roman" w:hAnsi="Times New Roman" w:cs="Times New Roman"/>
          <w:b/>
        </w:rPr>
        <w:t xml:space="preserve">№ </w:t>
      </w:r>
      <w:r w:rsidR="00683A3E" w:rsidRPr="00683A3E">
        <w:rPr>
          <w:rFonts w:ascii="Times New Roman" w:hAnsi="Times New Roman" w:cs="Times New Roman"/>
          <w:b/>
        </w:rPr>
        <w:t>51</w:t>
      </w:r>
      <w:r w:rsidRPr="00683A3E">
        <w:rPr>
          <w:rFonts w:ascii="Times New Roman" w:hAnsi="Times New Roman" w:cs="Times New Roman"/>
          <w:b/>
        </w:rPr>
        <w:t>/О</w:t>
      </w:r>
    </w:p>
    <w:p w:rsidR="00086856" w:rsidRPr="004F31E0" w:rsidRDefault="00086856" w:rsidP="00086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FBA" w:rsidRPr="00F26FBA" w:rsidRDefault="00086856" w:rsidP="000868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26FBA">
        <w:rPr>
          <w:rFonts w:ascii="Times New Roman" w:hAnsi="Times New Roman" w:cs="Times New Roman"/>
          <w:b/>
          <w:bCs/>
          <w:sz w:val="28"/>
          <w:szCs w:val="24"/>
        </w:rPr>
        <w:t xml:space="preserve">Про вивчення стану навчання, виховання </w:t>
      </w:r>
    </w:p>
    <w:p w:rsidR="00086856" w:rsidRPr="00F26FBA" w:rsidRDefault="00086856" w:rsidP="000868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26FBA">
        <w:rPr>
          <w:rFonts w:ascii="Times New Roman" w:hAnsi="Times New Roman" w:cs="Times New Roman"/>
          <w:b/>
          <w:bCs/>
          <w:sz w:val="28"/>
          <w:szCs w:val="24"/>
        </w:rPr>
        <w:t>та рівня навчальних досягнень з хімії</w:t>
      </w:r>
    </w:p>
    <w:p w:rsidR="00655894" w:rsidRPr="009948AF" w:rsidRDefault="00655894" w:rsidP="00BC3E9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55894" w:rsidRPr="009948AF" w:rsidRDefault="00655894" w:rsidP="00BC3E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річного плану роботи школи, графіка </w:t>
      </w:r>
      <w:proofErr w:type="spellStart"/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на 2021-2022 навчальний рік 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адміністрацією школи вивчався стан викладання хімії та рівень навчальних досягнень учнів з предмету. Перевірка здійс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нювалася протягом  квітня 2022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26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дистанційному форматі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5894" w:rsidRPr="009948AF" w:rsidRDefault="00655894" w:rsidP="00BC3E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ході перевірки проаналізовано кадрове забезпечення, матеріально-технічне та програмно-методичне забезпечення викладання предмету. </w:t>
      </w:r>
    </w:p>
    <w:p w:rsidR="00655894" w:rsidRPr="009948AF" w:rsidRDefault="00655894" w:rsidP="00BC3E9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якості знань, умінь та навичок учнів з хімії здійснювався на основі:</w:t>
      </w:r>
    </w:p>
    <w:p w:rsidR="00655894" w:rsidRPr="005A6E1C" w:rsidRDefault="00655894" w:rsidP="00BC3E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A6E1C">
        <w:rPr>
          <w:rFonts w:ascii="Times New Roman" w:eastAsia="Times New Roman" w:hAnsi="Times New Roman"/>
          <w:sz w:val="28"/>
          <w:szCs w:val="28"/>
        </w:rPr>
        <w:t>відвідування уроків;</w:t>
      </w:r>
    </w:p>
    <w:p w:rsidR="00655894" w:rsidRPr="005A6E1C" w:rsidRDefault="00655894" w:rsidP="00BC3E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A6E1C">
        <w:rPr>
          <w:rFonts w:ascii="Times New Roman" w:eastAsia="Times New Roman" w:hAnsi="Times New Roman"/>
          <w:sz w:val="28"/>
          <w:szCs w:val="28"/>
        </w:rPr>
        <w:t>проведення контрольних зрізів знань з хімії;</w:t>
      </w:r>
    </w:p>
    <w:p w:rsidR="00655894" w:rsidRPr="005A6E1C" w:rsidRDefault="00655894" w:rsidP="00BC3E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A6E1C">
        <w:rPr>
          <w:rFonts w:ascii="Times New Roman" w:eastAsia="Times New Roman" w:hAnsi="Times New Roman"/>
          <w:sz w:val="28"/>
          <w:szCs w:val="28"/>
        </w:rPr>
        <w:t>перегляду учнівських зошитів з хімії, а також контрольних та практичних робіт;</w:t>
      </w:r>
    </w:p>
    <w:p w:rsidR="00655894" w:rsidRPr="005A6E1C" w:rsidRDefault="00655894" w:rsidP="00BC3E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A6E1C">
        <w:rPr>
          <w:rFonts w:ascii="Times New Roman" w:eastAsia="Times New Roman" w:hAnsi="Times New Roman"/>
          <w:sz w:val="28"/>
          <w:szCs w:val="28"/>
        </w:rPr>
        <w:t>ознайомлення з поточною та підсумковою успішністю учнів по класних журналах;</w:t>
      </w:r>
    </w:p>
    <w:p w:rsidR="00655894" w:rsidRPr="005A6E1C" w:rsidRDefault="00655894" w:rsidP="00BC3E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бесід з у</w:t>
      </w:r>
      <w:r w:rsidRPr="005A6E1C">
        <w:rPr>
          <w:rFonts w:ascii="Times New Roman" w:eastAsia="Times New Roman" w:hAnsi="Times New Roman"/>
          <w:sz w:val="28"/>
          <w:szCs w:val="28"/>
        </w:rPr>
        <w:t>чител</w:t>
      </w:r>
      <w:r>
        <w:rPr>
          <w:rFonts w:ascii="Times New Roman" w:eastAsia="Times New Roman" w:hAnsi="Times New Roman"/>
          <w:sz w:val="28"/>
          <w:szCs w:val="28"/>
        </w:rPr>
        <w:t>ями</w:t>
      </w:r>
      <w:r w:rsidRPr="005A6E1C">
        <w:rPr>
          <w:rFonts w:ascii="Times New Roman" w:eastAsia="Times New Roman" w:hAnsi="Times New Roman"/>
          <w:sz w:val="28"/>
          <w:szCs w:val="28"/>
        </w:rPr>
        <w:t xml:space="preserve"> хімії;</w:t>
      </w:r>
    </w:p>
    <w:p w:rsidR="00655894" w:rsidRPr="009948AF" w:rsidRDefault="00BC3E9E" w:rsidP="00BC3E9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558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Хімію у школі викладають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Марку І.П. - учитель вищої категорії, звання 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тарший учитель,</w:t>
      </w:r>
      <w:r w:rsidR="008A1C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0A9">
        <w:rPr>
          <w:rFonts w:ascii="Times New Roman" w:eastAsia="Times New Roman" w:hAnsi="Times New Roman" w:cs="Times New Roman"/>
          <w:sz w:val="28"/>
          <w:szCs w:val="28"/>
          <w:lang w:val="uk-UA"/>
        </w:rPr>
        <w:t>Кильчик</w:t>
      </w:r>
      <w:proofErr w:type="spellEnd"/>
      <w:r w:rsidR="00B560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О.С.- учитель 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>вищої</w:t>
      </w:r>
      <w:r w:rsidR="00B560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Гергі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- учитель другої категорії.</w:t>
      </w:r>
    </w:p>
    <w:p w:rsidR="00655894" w:rsidRPr="00BC3E9E" w:rsidRDefault="00655894" w:rsidP="00BC3E9E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>Календарно-т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ематичне планування </w:t>
      </w:r>
      <w:r w:rsidR="00BC3E9E">
        <w:rPr>
          <w:rFonts w:ascii="Times New Roman" w:eastAsia="Times New Roman" w:hAnsi="Times New Roman" w:cs="Times New Roman"/>
          <w:sz w:val="28"/>
          <w:szCs w:val="24"/>
          <w:lang w:val="uk-UA"/>
        </w:rPr>
        <w:t>вчителів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складено згідно програм МОН України з врахуванням програмових вимог</w:t>
      </w:r>
      <w:r w:rsidR="00BC3E9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методичних рекомендацій на 2021-2022 навчальний рік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 вивчення предмету</w:t>
      </w:r>
      <w:r w:rsidRPr="009948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плануванні передбачено проведення і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нструктажів з безпеки життєдіяльності на початку навчального року та безпосередньо перед виконанням лабораторних та практичних робіт. Кількість лабораторних та практичних робіт та їх зміст відповідають програмі.</w:t>
      </w:r>
    </w:p>
    <w:p w:rsidR="00655894" w:rsidRDefault="00655894" w:rsidP="00BC3E9E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>Немає зауважень до ведення класних</w:t>
      </w:r>
      <w:r w:rsidRPr="009948AF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журналів,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ведеться тематичний облік знань. Навчальні досягнення учнів оцінюються відповідно до 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критеріїв оцінювання навчальних досягнень з хімії. 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Експериментальна частина програми виконується</w:t>
      </w:r>
      <w:r w:rsidRPr="009948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5894" w:rsidRPr="009948AF" w:rsidRDefault="00655894" w:rsidP="00BC3E9E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Учні 7-10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класів забезпечені підручниками на 100%. В кабінеті хімії  </w:t>
      </w:r>
      <w:r w:rsidRPr="009948AF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є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діючі стенди, наочні посібники. Однак досить мало макетів, колекцій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мінералів.</w:t>
      </w:r>
      <w:r w:rsidRPr="009948AF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Ведеться журнал інструктажів з безпеки життєдіяльності, </w:t>
      </w:r>
      <w:r w:rsidRPr="009948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 додаткова література,</w:t>
      </w:r>
      <w:r w:rsidRPr="009948AF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підручники, 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>збірни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softHyphen/>
        <w:t>ки задач, збірники для підготовки до ЗНО</w:t>
      </w:r>
      <w:r w:rsidRPr="009948AF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. </w:t>
      </w:r>
    </w:p>
    <w:p w:rsidR="00BC3E9E" w:rsidRPr="00BC3E9E" w:rsidRDefault="00BC3E9E" w:rsidP="00BC3E9E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C3E9E">
        <w:rPr>
          <w:rFonts w:ascii="Times New Roman" w:eastAsia="Times New Roman" w:hAnsi="Times New Roman" w:cs="Times New Roman"/>
          <w:sz w:val="28"/>
          <w:szCs w:val="28"/>
          <w:lang w:val="uk-UA"/>
        </w:rPr>
        <w:t>Співбесіда показала, що вчителі, хімії знають структуру і вимоги програм, орієнтуються в нормативних доку</w:t>
      </w:r>
      <w:r w:rsidRPr="00BC3E9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ментах з питань викладання предмету, враховують методичні рекомендації МОН України щодо викладання хімії у поточному році.</w:t>
      </w:r>
    </w:p>
    <w:p w:rsidR="00F45F0A" w:rsidRPr="00F45F0A" w:rsidRDefault="00F45F0A" w:rsidP="00F45F0A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36"/>
          <w:szCs w:val="32"/>
          <w:lang w:val="uk-UA"/>
        </w:rPr>
      </w:pPr>
      <w:r w:rsidRPr="00F45F0A">
        <w:rPr>
          <w:rFonts w:ascii="Times New Roman" w:hAnsi="Times New Roman" w:cs="Times New Roman"/>
          <w:sz w:val="28"/>
          <w:szCs w:val="28"/>
          <w:lang w:val="uk-UA"/>
        </w:rPr>
        <w:t>Наочне обладнання, навчально-наочні посібники оптимально систематизовані, хімічні реактиви</w:t>
      </w:r>
      <w:r w:rsidR="00BD0017" w:rsidRPr="009948AF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застарілі</w:t>
      </w:r>
      <w:r w:rsidR="00BD001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, але</w:t>
      </w:r>
      <w:r w:rsidRPr="00F45F0A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з дотриманням вимог пожежної безпеки та охорони праці, створено добрі умови для комплексного використання технічних засобів навчання</w:t>
      </w:r>
      <w:r w:rsidR="00BD001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D0017" w:rsidRPr="009948AF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проведення лабораторних і практичних робіт</w:t>
      </w:r>
      <w:r w:rsidR="00BD0017"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>у формі демонстраційного експерименту</w:t>
      </w:r>
      <w:r w:rsidRPr="00F45F0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навчально-матеріальна база викладання хімії добре зберігається.</w:t>
      </w:r>
    </w:p>
    <w:p w:rsidR="00655894" w:rsidRPr="009948AF" w:rsidRDefault="00655894" w:rsidP="00BC3E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оцінки стану викладання предмету та визначення рівня навчальних досягнен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 були відвідані уроки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5894" w:rsidRPr="0053674C" w:rsidRDefault="00655894" w:rsidP="0053674C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Для </w:t>
      </w:r>
      <w:r w:rsidR="00F0573F">
        <w:rPr>
          <w:rFonts w:ascii="Times New Roman" w:eastAsia="Times New Roman" w:hAnsi="Times New Roman" w:cs="Times New Roman"/>
          <w:sz w:val="28"/>
          <w:szCs w:val="28"/>
          <w:lang w:val="uk-UA"/>
        </w:rPr>
        <w:t>Марку Івана Петровича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>характерним є  принцип проблемного пошуку,де учитель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 проблемні питання і дає можливість учням шляхи їх вирішення. На уроці</w:t>
      </w:r>
      <w:r w:rsidR="008A1C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вдало поєднує  різні форми організації роботи учнів, кожен урок містить індивідуальну перевірку шляхом написання самостійних робіт, бліц-опитувань, хімічних диктантів, що зумовлює об’єктивне оцінювання кожного учня. 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На уроках порушуються екологічні проблеми, належна увага приділяється показу впливу хімічних чинників на здоров’я людини.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Значну увагу вчитель також надає питанням зв'язку хімії з життям, широко використовує міжпредметні зв'язки. Основні хімічні поняття розкриває на доступному рівні з використанням пояснення, бесіди та практичного самостійного і колективного  виконання учнями вправ, практикує активні та інтерактивні методи роботи учнів на уроці. На заняттях школярі добре відчувають поєднання вимогливості і розуміння з </w:t>
      </w:r>
      <w:r w:rsidR="004E67A0">
        <w:rPr>
          <w:rFonts w:ascii="Times New Roman" w:eastAsia="Times New Roman" w:hAnsi="Times New Roman" w:cs="Times New Roman"/>
          <w:sz w:val="28"/>
          <w:szCs w:val="24"/>
          <w:lang w:val="uk-UA"/>
        </w:rPr>
        <w:t>боку</w:t>
      </w: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вчителя. </w:t>
      </w:r>
    </w:p>
    <w:p w:rsidR="00F0573F" w:rsidRPr="00F0573F" w:rsidRDefault="00F0573F" w:rsidP="00F057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73F">
        <w:rPr>
          <w:rFonts w:ascii="Times New Roman" w:hAnsi="Times New Roman" w:cs="Times New Roman"/>
          <w:sz w:val="28"/>
          <w:szCs w:val="28"/>
          <w:lang w:val="uk-UA"/>
        </w:rPr>
        <w:t xml:space="preserve">Проведенаспівбесіда з учителем хімії </w:t>
      </w:r>
      <w:proofErr w:type="spellStart"/>
      <w:r w:rsidRPr="00F0573F">
        <w:rPr>
          <w:rFonts w:ascii="Times New Roman" w:eastAsia="Times New Roman" w:hAnsi="Times New Roman" w:cs="Times New Roman"/>
          <w:sz w:val="28"/>
          <w:szCs w:val="28"/>
          <w:lang w:val="uk-UA"/>
        </w:rPr>
        <w:t>Кильчик</w:t>
      </w:r>
      <w:proofErr w:type="spellEnd"/>
      <w:r w:rsidRPr="00F05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8A1C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573F">
        <w:rPr>
          <w:rFonts w:ascii="Times New Roman" w:eastAsia="Times New Roman" w:hAnsi="Times New Roman" w:cs="Times New Roman"/>
          <w:sz w:val="28"/>
          <w:szCs w:val="28"/>
          <w:lang w:val="uk-UA"/>
        </w:rPr>
        <w:t>Севаст’янівн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F0573F">
        <w:rPr>
          <w:rFonts w:ascii="Times New Roman" w:hAnsi="Times New Roman" w:cs="Times New Roman"/>
          <w:sz w:val="28"/>
          <w:szCs w:val="28"/>
          <w:lang w:val="uk-UA"/>
        </w:rPr>
        <w:t xml:space="preserve"> показала, що вона знає структуру, вимоги навчальної програми, інші нормативні документи з питань викладання хімії, детально ознайомлена з методичними рекомендаціями щодо викладання предмета в поточному навчальному році. Вчитель ознайомлений із інноваційними технологіями, інтерактивними формами навчання, передовим </w:t>
      </w:r>
      <w:r w:rsidRPr="00F0573F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педагогічним досвідом, який активно впроваджує у практику роботи. Відповідно до діючої програми та з урахуванням вимог до тематичного оцінювання складено календарні планування, при підготовці поурочних планів, які характеризуються систематичністю та раціональністю, педагогом використовуються методичні посібники і розробки уроків. На достатньому рівні вчитель забезпечений методичною літературою, постійно слідкує за її новинками, виписує періодичні видання та працює над опрацюванням їхніх публікацій.</w:t>
      </w:r>
      <w:r w:rsidR="0053674C" w:rsidRPr="00F05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характерними якостями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вчительки</w:t>
      </w:r>
      <w:r w:rsidR="0053674C" w:rsidRPr="00F0573F">
        <w:rPr>
          <w:rFonts w:ascii="Times New Roman" w:eastAsia="Times New Roman" w:hAnsi="Times New Roman" w:cs="Times New Roman"/>
          <w:sz w:val="28"/>
          <w:szCs w:val="28"/>
          <w:lang w:val="uk-UA"/>
        </w:rPr>
        <w:t>є пошук власного підходу до дієвого використання форм, методів, прийомів викладання хімії, максимального врахування інтересів, нахилів школярів у процесі планування навчальної роботи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використання наявної в кабінеті лабораторії.</w:t>
      </w:r>
    </w:p>
    <w:p w:rsidR="00185407" w:rsidRPr="00185407" w:rsidRDefault="00F0573F" w:rsidP="001854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85407">
        <w:rPr>
          <w:rFonts w:ascii="Times New Roman" w:eastAsia="Times New Roman" w:hAnsi="Times New Roman" w:cs="Times New Roman"/>
          <w:sz w:val="28"/>
          <w:szCs w:val="28"/>
          <w:lang w:val="uk-UA"/>
        </w:rPr>
        <w:t>Гергі</w:t>
      </w:r>
      <w:proofErr w:type="spellEnd"/>
      <w:r w:rsidRPr="00185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5407"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185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Михайлівна</w:t>
      </w:r>
      <w:r w:rsidR="0053674C" w:rsidRPr="00185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широко практикує активні форми роботи (робота в малих групах; мозковий штурм; уроки з використанням рольових ситуацій; інтегровані уроки; уроки-ігри; </w:t>
      </w:r>
      <w:proofErr w:type="spellStart"/>
      <w:r w:rsidR="0053674C" w:rsidRPr="00185407">
        <w:rPr>
          <w:rFonts w:ascii="Times New Roman" w:eastAsia="Times New Roman" w:hAnsi="Times New Roman" w:cs="Times New Roman"/>
          <w:sz w:val="28"/>
          <w:szCs w:val="28"/>
          <w:lang w:val="uk-UA"/>
        </w:rPr>
        <w:t>міжпредметного</w:t>
      </w:r>
      <w:proofErr w:type="spellEnd"/>
      <w:r w:rsidR="0053674C" w:rsidRPr="00185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узагальнення і систематизації матеріалу), що суттєво сприяє активній взаємодії учнів. </w:t>
      </w:r>
      <w:r w:rsidR="00185407" w:rsidRPr="00185407">
        <w:rPr>
          <w:rFonts w:ascii="Times New Roman" w:hAnsi="Times New Roman" w:cs="Times New Roman"/>
          <w:sz w:val="28"/>
          <w:szCs w:val="28"/>
          <w:lang w:val="uk-UA"/>
        </w:rPr>
        <w:t xml:space="preserve">Крім традиційних питань, що стосуються хімічних елементів, речовин і реакцій, учителем належна увага приділяється висвітленню методів наукового пізнання в хімії, ролі теоретичних і експериментальних досліджень. Матеріал, який використовується для цього, часто має чітко виражене екологічне спрямування. Через показ біосферних </w:t>
      </w:r>
      <w:proofErr w:type="spellStart"/>
      <w:r w:rsidR="00185407" w:rsidRPr="00185407">
        <w:rPr>
          <w:rFonts w:ascii="Times New Roman" w:hAnsi="Times New Roman" w:cs="Times New Roman"/>
          <w:sz w:val="28"/>
          <w:szCs w:val="28"/>
          <w:lang w:val="uk-UA"/>
        </w:rPr>
        <w:t>колообігів</w:t>
      </w:r>
      <w:proofErr w:type="spellEnd"/>
      <w:r w:rsidR="008A1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407" w:rsidRPr="00185407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="00185407" w:rsidRPr="00185407">
        <w:rPr>
          <w:rFonts w:ascii="Times New Roman" w:hAnsi="Times New Roman" w:cs="Times New Roman"/>
          <w:sz w:val="28"/>
          <w:szCs w:val="28"/>
          <w:lang w:val="uk-UA"/>
        </w:rPr>
        <w:t>, Нітрогену, вуглекислого газу, води та такими наслідками впливу діяльності людини на середовище, як парниковий ефект, кислотні дощі, руйнування озонового шару, на уроках та в позакласній роботі з предмета порушуються екологічні проблеми. Належна увага приділяється показу впливу хімічних чинників на здоров’я людини, пояснюється згубна дія алкоголю, наркотичних речовин, тютюнопаління. Раціонально застосовуються способи дій, засоби і методи навчання.</w:t>
      </w:r>
    </w:p>
    <w:p w:rsidR="0053674C" w:rsidRPr="004B5707" w:rsidRDefault="001437D4" w:rsidP="004B57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7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0429" w:rsidRPr="004E67A0">
        <w:rPr>
          <w:rFonts w:ascii="Times New Roman" w:hAnsi="Times New Roman" w:cs="Times New Roman"/>
          <w:sz w:val="28"/>
          <w:szCs w:val="28"/>
          <w:lang w:val="uk-UA"/>
        </w:rPr>
        <w:t>ротягом квітня поточного року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4E67A0" w:rsidRPr="004E67A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>результа</w:t>
      </w:r>
      <w:r w:rsidR="00AA11CC" w:rsidRPr="004E67A0">
        <w:rPr>
          <w:rFonts w:ascii="Times New Roman" w:hAnsi="Times New Roman" w:cs="Times New Roman"/>
          <w:sz w:val="28"/>
          <w:szCs w:val="28"/>
          <w:lang w:val="uk-UA"/>
        </w:rPr>
        <w:t>типрактич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>них робіт та виявлено якісний показник за рівнями знань:</w:t>
      </w:r>
    </w:p>
    <w:p w:rsidR="001437D4" w:rsidRPr="00F26FBA" w:rsidRDefault="005845F8" w:rsidP="005845F8">
      <w:pPr>
        <w:pStyle w:val="a3"/>
        <w:ind w:firstLine="348"/>
        <w:jc w:val="center"/>
        <w:rPr>
          <w:rFonts w:ascii="Times New Roman" w:hAnsi="Times New Roman" w:cs="Times New Roman"/>
          <w:sz w:val="28"/>
          <w:szCs w:val="24"/>
        </w:rPr>
      </w:pPr>
      <w:r w:rsidRPr="00F26FBA">
        <w:rPr>
          <w:rFonts w:ascii="Times New Roman" w:hAnsi="Times New Roman" w:cs="Times New Roman"/>
          <w:sz w:val="28"/>
          <w:szCs w:val="24"/>
        </w:rPr>
        <w:t>Показник результатів контрольних робіт з хімії (протягом квітня 2022)</w:t>
      </w:r>
    </w:p>
    <w:tbl>
      <w:tblPr>
        <w:tblStyle w:val="a5"/>
        <w:tblW w:w="9061" w:type="dxa"/>
        <w:tblLook w:val="04A0"/>
      </w:tblPr>
      <w:tblGrid>
        <w:gridCol w:w="786"/>
        <w:gridCol w:w="1003"/>
        <w:gridCol w:w="875"/>
        <w:gridCol w:w="591"/>
        <w:gridCol w:w="763"/>
        <w:gridCol w:w="477"/>
        <w:gridCol w:w="763"/>
        <w:gridCol w:w="478"/>
        <w:gridCol w:w="763"/>
        <w:gridCol w:w="478"/>
        <w:gridCol w:w="763"/>
        <w:gridCol w:w="553"/>
        <w:gridCol w:w="768"/>
      </w:tblGrid>
      <w:tr w:rsidR="004F6C35" w:rsidRPr="008A239D" w:rsidTr="00240EED">
        <w:trPr>
          <w:trHeight w:val="516"/>
        </w:trPr>
        <w:tc>
          <w:tcPr>
            <w:tcW w:w="786" w:type="dxa"/>
            <w:vMerge w:val="restart"/>
          </w:tcPr>
          <w:p w:rsidR="004F6C35" w:rsidRPr="008A239D" w:rsidRDefault="004F6C35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Клас</w:t>
            </w:r>
            <w:r w:rsidR="005845F8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003" w:type="dxa"/>
            <w:vMerge w:val="restart"/>
          </w:tcPr>
          <w:p w:rsidR="008A239D" w:rsidRPr="008A239D" w:rsidRDefault="004F6C35" w:rsidP="00F2188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К-ть учнів</w:t>
            </w:r>
          </w:p>
          <w:p w:rsidR="004F6C35" w:rsidRPr="008A239D" w:rsidRDefault="008A239D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за списком</w:t>
            </w:r>
          </w:p>
        </w:tc>
        <w:tc>
          <w:tcPr>
            <w:tcW w:w="875" w:type="dxa"/>
            <w:vMerge w:val="restart"/>
          </w:tcPr>
          <w:p w:rsidR="004F6C35" w:rsidRPr="008A239D" w:rsidRDefault="004F6C35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К-ть учнів, які писали роботу</w:t>
            </w:r>
          </w:p>
        </w:tc>
        <w:tc>
          <w:tcPr>
            <w:tcW w:w="5076" w:type="dxa"/>
            <w:gridSpan w:val="8"/>
            <w:vAlign w:val="center"/>
          </w:tcPr>
          <w:p w:rsidR="004F6C35" w:rsidRPr="008A239D" w:rsidRDefault="004F6C35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4F6C35" w:rsidRPr="008A239D" w:rsidRDefault="004F6C35" w:rsidP="004F6C3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Якісний показник</w:t>
            </w:r>
          </w:p>
        </w:tc>
      </w:tr>
      <w:tr w:rsidR="004F6C35" w:rsidRPr="008A239D" w:rsidTr="00240EED">
        <w:trPr>
          <w:trHeight w:val="516"/>
        </w:trPr>
        <w:tc>
          <w:tcPr>
            <w:tcW w:w="786" w:type="dxa"/>
            <w:vMerge/>
          </w:tcPr>
          <w:p w:rsidR="004F6C35" w:rsidRPr="008A239D" w:rsidRDefault="004F6C35" w:rsidP="00BC3E9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vMerge/>
          </w:tcPr>
          <w:p w:rsidR="004F6C35" w:rsidRPr="008A239D" w:rsidRDefault="004F6C35" w:rsidP="00BC3E9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  <w:vMerge/>
          </w:tcPr>
          <w:p w:rsidR="004F6C35" w:rsidRPr="008A239D" w:rsidRDefault="004F6C35" w:rsidP="00BC3E9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6C35" w:rsidRPr="008A239D" w:rsidRDefault="004F6C35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Початковий</w:t>
            </w:r>
          </w:p>
        </w:tc>
        <w:tc>
          <w:tcPr>
            <w:tcW w:w="1240" w:type="dxa"/>
            <w:gridSpan w:val="2"/>
            <w:vAlign w:val="center"/>
          </w:tcPr>
          <w:p w:rsidR="004F6C35" w:rsidRPr="008A239D" w:rsidRDefault="004F6C35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1241" w:type="dxa"/>
            <w:gridSpan w:val="2"/>
            <w:vAlign w:val="center"/>
          </w:tcPr>
          <w:p w:rsidR="004F6C35" w:rsidRPr="008A239D" w:rsidRDefault="004F6C35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1241" w:type="dxa"/>
            <w:gridSpan w:val="2"/>
            <w:vAlign w:val="center"/>
          </w:tcPr>
          <w:p w:rsidR="004F6C35" w:rsidRPr="008A239D" w:rsidRDefault="004F6C35" w:rsidP="00F2188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1321" w:type="dxa"/>
            <w:gridSpan w:val="2"/>
            <w:vMerge/>
          </w:tcPr>
          <w:p w:rsidR="004F6C35" w:rsidRPr="008A239D" w:rsidRDefault="004F6C35" w:rsidP="00BC3E9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F6C35" w:rsidRPr="008A239D" w:rsidTr="00240EED">
        <w:trPr>
          <w:trHeight w:val="516"/>
        </w:trPr>
        <w:tc>
          <w:tcPr>
            <w:tcW w:w="786" w:type="dxa"/>
            <w:vMerge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3" w:type="dxa"/>
            <w:vMerge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  <w:vMerge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1" w:type="dxa"/>
            <w:vAlign w:val="center"/>
          </w:tcPr>
          <w:p w:rsidR="004F6C35" w:rsidRPr="008A239D" w:rsidRDefault="004F6C35" w:rsidP="004F6C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763" w:type="dxa"/>
            <w:vAlign w:val="center"/>
          </w:tcPr>
          <w:p w:rsidR="004F6C35" w:rsidRPr="008A239D" w:rsidRDefault="004F6C35" w:rsidP="004F6C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77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763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78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763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78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763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553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768" w:type="dxa"/>
            <w:vAlign w:val="center"/>
          </w:tcPr>
          <w:p w:rsidR="004F6C35" w:rsidRPr="008A239D" w:rsidRDefault="004F6C35" w:rsidP="004F6C3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240EED" w:rsidRPr="008A239D" w:rsidTr="00240EED">
        <w:tc>
          <w:tcPr>
            <w:tcW w:w="786" w:type="dxa"/>
          </w:tcPr>
          <w:p w:rsidR="00240EED" w:rsidRPr="008A239D" w:rsidRDefault="00240EED" w:rsidP="00240EE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7-мі</w:t>
            </w:r>
          </w:p>
        </w:tc>
        <w:tc>
          <w:tcPr>
            <w:tcW w:w="1003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875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591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22</w:t>
            </w:r>
          </w:p>
        </w:tc>
        <w:tc>
          <w:tcPr>
            <w:tcW w:w="763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23,2%</w:t>
            </w:r>
          </w:p>
        </w:tc>
        <w:tc>
          <w:tcPr>
            <w:tcW w:w="477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40</w:t>
            </w:r>
          </w:p>
        </w:tc>
        <w:tc>
          <w:tcPr>
            <w:tcW w:w="763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42,1%</w:t>
            </w:r>
          </w:p>
        </w:tc>
        <w:tc>
          <w:tcPr>
            <w:tcW w:w="478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21</w:t>
            </w:r>
          </w:p>
        </w:tc>
        <w:tc>
          <w:tcPr>
            <w:tcW w:w="763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22,1%</w:t>
            </w:r>
          </w:p>
        </w:tc>
        <w:tc>
          <w:tcPr>
            <w:tcW w:w="478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12</w:t>
            </w:r>
          </w:p>
        </w:tc>
        <w:tc>
          <w:tcPr>
            <w:tcW w:w="763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11CC">
              <w:rPr>
                <w:rFonts w:ascii="Calibri" w:eastAsia="Times New Roman" w:hAnsi="Calibri" w:cs="Calibri"/>
                <w:color w:val="000000"/>
                <w:lang w:val="uk-UA" w:eastAsia="uk-UA"/>
              </w:rPr>
              <w:t>12,6%</w:t>
            </w:r>
          </w:p>
        </w:tc>
        <w:tc>
          <w:tcPr>
            <w:tcW w:w="553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33</w:t>
            </w:r>
          </w:p>
        </w:tc>
        <w:tc>
          <w:tcPr>
            <w:tcW w:w="768" w:type="dxa"/>
            <w:vAlign w:val="center"/>
          </w:tcPr>
          <w:p w:rsidR="00240EED" w:rsidRPr="008A239D" w:rsidRDefault="00240EED" w:rsidP="00240E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34,7%</w:t>
            </w:r>
          </w:p>
        </w:tc>
      </w:tr>
      <w:tr w:rsidR="002105E6" w:rsidRPr="008A239D" w:rsidTr="00240EED">
        <w:tc>
          <w:tcPr>
            <w:tcW w:w="786" w:type="dxa"/>
          </w:tcPr>
          <w:p w:rsidR="002105E6" w:rsidRPr="008A239D" w:rsidRDefault="002105E6" w:rsidP="002105E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8-мі</w:t>
            </w:r>
          </w:p>
        </w:tc>
        <w:tc>
          <w:tcPr>
            <w:tcW w:w="100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875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591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20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25,0%</w:t>
            </w:r>
          </w:p>
        </w:tc>
        <w:tc>
          <w:tcPr>
            <w:tcW w:w="477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32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40,0%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23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28,8%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5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0EED">
              <w:rPr>
                <w:rFonts w:ascii="Calibri" w:eastAsia="Times New Roman" w:hAnsi="Calibri" w:cs="Calibri"/>
                <w:color w:val="000000"/>
                <w:lang w:val="uk-UA" w:eastAsia="uk-UA"/>
              </w:rPr>
              <w:t>6,3%</w:t>
            </w:r>
          </w:p>
        </w:tc>
        <w:tc>
          <w:tcPr>
            <w:tcW w:w="55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28</w:t>
            </w:r>
          </w:p>
        </w:tc>
        <w:tc>
          <w:tcPr>
            <w:tcW w:w="76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35,0%</w:t>
            </w:r>
          </w:p>
        </w:tc>
      </w:tr>
      <w:tr w:rsidR="002105E6" w:rsidRPr="008A239D" w:rsidTr="00240EED">
        <w:tc>
          <w:tcPr>
            <w:tcW w:w="786" w:type="dxa"/>
          </w:tcPr>
          <w:p w:rsidR="002105E6" w:rsidRPr="008A239D" w:rsidRDefault="002105E6" w:rsidP="002105E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9-ті</w:t>
            </w:r>
          </w:p>
        </w:tc>
        <w:tc>
          <w:tcPr>
            <w:tcW w:w="100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74</w:t>
            </w:r>
          </w:p>
        </w:tc>
        <w:tc>
          <w:tcPr>
            <w:tcW w:w="875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74</w:t>
            </w:r>
          </w:p>
        </w:tc>
        <w:tc>
          <w:tcPr>
            <w:tcW w:w="591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14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18,9%</w:t>
            </w:r>
          </w:p>
        </w:tc>
        <w:tc>
          <w:tcPr>
            <w:tcW w:w="477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35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47,3%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21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28,4%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4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5,4%</w:t>
            </w:r>
          </w:p>
        </w:tc>
        <w:tc>
          <w:tcPr>
            <w:tcW w:w="55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25</w:t>
            </w:r>
          </w:p>
        </w:tc>
        <w:tc>
          <w:tcPr>
            <w:tcW w:w="76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33,8%</w:t>
            </w:r>
          </w:p>
        </w:tc>
      </w:tr>
      <w:tr w:rsidR="002105E6" w:rsidRPr="008A239D" w:rsidTr="00240EED">
        <w:tc>
          <w:tcPr>
            <w:tcW w:w="786" w:type="dxa"/>
          </w:tcPr>
          <w:p w:rsidR="002105E6" w:rsidRPr="008A239D" w:rsidRDefault="002105E6" w:rsidP="002105E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10-ті</w:t>
            </w:r>
          </w:p>
        </w:tc>
        <w:tc>
          <w:tcPr>
            <w:tcW w:w="100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875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48</w:t>
            </w:r>
          </w:p>
        </w:tc>
        <w:tc>
          <w:tcPr>
            <w:tcW w:w="591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7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14,6%</w:t>
            </w:r>
          </w:p>
        </w:tc>
        <w:tc>
          <w:tcPr>
            <w:tcW w:w="477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20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41,7%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18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37,5%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3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6,3%</w:t>
            </w:r>
          </w:p>
        </w:tc>
        <w:tc>
          <w:tcPr>
            <w:tcW w:w="55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21</w:t>
            </w:r>
          </w:p>
        </w:tc>
        <w:tc>
          <w:tcPr>
            <w:tcW w:w="76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43,8%</w:t>
            </w:r>
          </w:p>
        </w:tc>
      </w:tr>
      <w:tr w:rsidR="002105E6" w:rsidRPr="008A239D" w:rsidTr="00240EED">
        <w:tc>
          <w:tcPr>
            <w:tcW w:w="786" w:type="dxa"/>
          </w:tcPr>
          <w:p w:rsidR="002105E6" w:rsidRPr="008A239D" w:rsidRDefault="002105E6" w:rsidP="002105E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11-ті</w:t>
            </w:r>
          </w:p>
        </w:tc>
        <w:tc>
          <w:tcPr>
            <w:tcW w:w="100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875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239D"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591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3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8,8%</w:t>
            </w:r>
          </w:p>
        </w:tc>
        <w:tc>
          <w:tcPr>
            <w:tcW w:w="477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16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47,1%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10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29,4%</w:t>
            </w:r>
          </w:p>
        </w:tc>
        <w:tc>
          <w:tcPr>
            <w:tcW w:w="47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5</w:t>
            </w:r>
          </w:p>
        </w:tc>
        <w:tc>
          <w:tcPr>
            <w:tcW w:w="76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color w:val="000000"/>
                <w:lang w:val="uk-UA" w:eastAsia="uk-UA"/>
              </w:rPr>
              <w:t>14,7%</w:t>
            </w:r>
          </w:p>
        </w:tc>
        <w:tc>
          <w:tcPr>
            <w:tcW w:w="553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15</w:t>
            </w:r>
          </w:p>
        </w:tc>
        <w:tc>
          <w:tcPr>
            <w:tcW w:w="768" w:type="dxa"/>
            <w:vAlign w:val="center"/>
          </w:tcPr>
          <w:p w:rsidR="002105E6" w:rsidRPr="008A239D" w:rsidRDefault="002105E6" w:rsidP="002105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05E6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44,1%</w:t>
            </w:r>
          </w:p>
        </w:tc>
      </w:tr>
    </w:tbl>
    <w:p w:rsidR="0053674C" w:rsidRDefault="0053674C" w:rsidP="00BC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B5707" w:rsidRDefault="008A239D" w:rsidP="008A23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7A0">
        <w:rPr>
          <w:rFonts w:ascii="Times New Roman" w:hAnsi="Times New Roman" w:cs="Times New Roman"/>
          <w:sz w:val="28"/>
          <w:szCs w:val="28"/>
          <w:lang w:val="uk-UA"/>
        </w:rPr>
        <w:t xml:space="preserve">Показані дані говорять про досить середній рівень знань учнів з хімії.Низький рівень знань з хімії слід зазначити в учнів </w:t>
      </w:r>
      <w:r w:rsidR="00AE1CA4" w:rsidRPr="004E67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>-х клас</w:t>
      </w:r>
      <w:r w:rsidR="004E67A0" w:rsidRPr="004E67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 xml:space="preserve"> (нижче </w:t>
      </w:r>
      <w:r w:rsidR="00AE1CA4" w:rsidRPr="004E67A0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 xml:space="preserve">%). Достатній рівень показали учні </w:t>
      </w:r>
      <w:r w:rsidR="00AE1CA4" w:rsidRPr="004E67A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>-х класів (4</w:t>
      </w:r>
      <w:r w:rsidR="00AE1CA4" w:rsidRPr="004E67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7A0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655894" w:rsidRPr="009948AF" w:rsidRDefault="00655894" w:rsidP="00BC3E9E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</w:t>
      </w:r>
      <w:r w:rsid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вартопокращити роботу  з оформлення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поповнення</w:t>
      </w:r>
      <w:r w:rsidRPr="009948A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кабінету хімії дидактичним матеріалом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</w:t>
      </w:r>
      <w:r w:rsidRPr="009948A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укомплек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тувати </w:t>
      </w:r>
      <w:r w:rsidRPr="009948A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сучасною 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методичною літературо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ю. Значну увагу приділити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озелененню кабінету.Ефективності засвоєння навчального матер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іалу сприяло б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можливостей інформаційно-комп’ютерної техніки.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Тому учител</w:t>
      </w:r>
      <w:r w:rsid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більше використовувати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ТЗН на окремих уроках для пояснення нового матеріалу, перевірки навчальних досягнень учнів,  демонстрації  дослідів,  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ворення проектів. </w:t>
      </w:r>
    </w:p>
    <w:p w:rsidR="00655894" w:rsidRPr="009948AF" w:rsidRDefault="00655894" w:rsidP="00BC3E9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948A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Згідно з існуючими вимогами в учнів є робочий зошит та зошит для  контрольних і практичних робіт. Аналіз зошитів показав, що учні дотримуються вимог щодо оформлення лабораторних та практичних робіт. </w:t>
      </w:r>
    </w:p>
    <w:p w:rsidR="00655894" w:rsidRDefault="00655894" w:rsidP="00BC3E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вищесказане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655894" w:rsidRDefault="00655894" w:rsidP="00BC3E9E">
      <w:pPr>
        <w:spacing w:after="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655894" w:rsidRPr="009948AF" w:rsidRDefault="00655894" w:rsidP="00BC3E9E">
      <w:pPr>
        <w:spacing w:after="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655894" w:rsidRPr="00CF5BF0" w:rsidRDefault="00655894" w:rsidP="00BC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655894" w:rsidRPr="00CF5BF0" w:rsidRDefault="00655894" w:rsidP="00BC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1. Стан викладання хімії </w:t>
      </w:r>
      <w:proofErr w:type="spellStart"/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Pr="00CF5BF0">
        <w:rPr>
          <w:rFonts w:ascii="Times New Roman" w:hAnsi="Times New Roman" w:cs="Times New Roman"/>
          <w:sz w:val="28"/>
          <w:szCs w:val="28"/>
          <w:lang w:val="uk-UA"/>
        </w:rPr>
        <w:t>вважати задовільним.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НВР </w:t>
      </w:r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О.Г. </w:t>
      </w:r>
      <w:proofErr w:type="spellStart"/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Pr="00CF5B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2.1. Ознайомити вчителів - </w:t>
      </w:r>
      <w:proofErr w:type="spellStart"/>
      <w:r w:rsidRPr="00CF5BF0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 з даним наказом на засіданні шкільного методичного об’єднання.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>2.2. Продовжити роботу над вивченням педагогічного досвіду вчител</w:t>
      </w:r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 хімії</w:t>
      </w:r>
      <w:r w:rsidR="00F26F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>2.3. Продовжити роботу з реалізації зауважень, які одержа</w:t>
      </w:r>
      <w:r w:rsidR="004E67A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 вчител</w:t>
      </w:r>
      <w:r w:rsidR="004E67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 під час фронтального контролю.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F5BF0"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Учителям хімії Марку І.П., </w:t>
      </w:r>
      <w:proofErr w:type="spellStart"/>
      <w:r w:rsidR="00CF5BF0"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Кильчік</w:t>
      </w:r>
      <w:proofErr w:type="spellEnd"/>
      <w:r w:rsidR="00CF5BF0"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="00CF5BF0"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Гергі</w:t>
      </w:r>
      <w:proofErr w:type="spellEnd"/>
      <w:r w:rsidR="00CF5BF0"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А.М.: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3.1. Підвищувати результативність і практичну спрямованість предмету шляхом використання інноваційних форм навчання, надаючи перевагу інтерактивним та </w:t>
      </w:r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>інформативно комунікаційним</w:t>
      </w: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технологіям.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>3.2. Сприяти інтеграції хімічних знань у зміст навчання інших дисциплін та позаурочної виховної роботи в школах.</w:t>
      </w:r>
    </w:p>
    <w:p w:rsidR="00B02A22" w:rsidRPr="00CF5BF0" w:rsidRDefault="00B02A22" w:rsidP="00BC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E67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5BF0">
        <w:rPr>
          <w:rFonts w:ascii="Times New Roman" w:hAnsi="Times New Roman" w:cs="Times New Roman"/>
          <w:sz w:val="28"/>
          <w:szCs w:val="28"/>
          <w:lang w:val="uk-UA"/>
        </w:rPr>
        <w:t>. Звернути увагу на результати досліджень практичного психолога та скоректувати роботу щодо підходів викладання предмету та методів опитування на уроці.</w:t>
      </w:r>
    </w:p>
    <w:p w:rsidR="00CF5BF0" w:rsidRPr="00CF5BF0" w:rsidRDefault="00CF5BF0" w:rsidP="00CF5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. Більше уваги приділяти невстигаючим учням, використовуючи на уроках диференційовані, індивідуальні завдання;</w:t>
      </w:r>
    </w:p>
    <w:p w:rsidR="00CF5BF0" w:rsidRPr="00CF5BF0" w:rsidRDefault="00CF5BF0" w:rsidP="00CF5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. Об’єктивно оцінювати навчальні досягнення учнів, не допускаючи значних розбіжностей в оцінюванні;</w:t>
      </w:r>
    </w:p>
    <w:p w:rsidR="00CF5BF0" w:rsidRPr="00CF5BF0" w:rsidRDefault="00CF5BF0" w:rsidP="00CF5B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4E67A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CF5BF0">
        <w:rPr>
          <w:rFonts w:ascii="Times New Roman" w:eastAsia="Times New Roman" w:hAnsi="Times New Roman" w:cs="Times New Roman"/>
          <w:sz w:val="28"/>
          <w:szCs w:val="28"/>
          <w:lang w:val="uk-UA"/>
        </w:rPr>
        <w:t>. Активізувати роботу з представлення власних робіт на педагогічних виставках, надання матеріалів до друку у фахових виданнях.</w:t>
      </w:r>
    </w:p>
    <w:p w:rsidR="00655894" w:rsidRPr="00CF5BF0" w:rsidRDefault="00B02A22" w:rsidP="00BC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наказу покласти на заступника директора з навчально-виховної роботи </w:t>
      </w:r>
      <w:proofErr w:type="spellStart"/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="00CF5BF0" w:rsidRPr="00CF5BF0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655894" w:rsidRDefault="00655894" w:rsidP="00BC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6FBA" w:rsidRDefault="00F26FBA" w:rsidP="00BC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6FBA" w:rsidRPr="00761C1D" w:rsidRDefault="00F26FBA" w:rsidP="00F26F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закладу</w:t>
      </w:r>
      <w:r w:rsidRPr="00761C1D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 xml:space="preserve">Оксана </w:t>
      </w:r>
      <w:r w:rsidRPr="00761C1D">
        <w:rPr>
          <w:rFonts w:ascii="Times New Roman" w:hAnsi="Times New Roman"/>
          <w:sz w:val="28"/>
          <w:szCs w:val="28"/>
        </w:rPr>
        <w:t xml:space="preserve">ТЕЛЬПІЗ </w:t>
      </w:r>
    </w:p>
    <w:p w:rsidR="00F26FBA" w:rsidRPr="00761C1D" w:rsidRDefault="00F26FBA" w:rsidP="00F26FBA">
      <w:pPr>
        <w:pStyle w:val="a4"/>
        <w:rPr>
          <w:rFonts w:ascii="Times New Roman" w:hAnsi="Times New Roman"/>
          <w:sz w:val="28"/>
          <w:szCs w:val="28"/>
        </w:rPr>
      </w:pPr>
    </w:p>
    <w:p w:rsidR="003A1976" w:rsidRDefault="003A1976" w:rsidP="00F26FBA">
      <w:pPr>
        <w:pStyle w:val="a4"/>
        <w:rPr>
          <w:rFonts w:ascii="Times New Roman" w:hAnsi="Times New Roman"/>
          <w:sz w:val="28"/>
          <w:szCs w:val="28"/>
        </w:rPr>
      </w:pPr>
    </w:p>
    <w:p w:rsidR="00F26FBA" w:rsidRPr="00761C1D" w:rsidRDefault="00F26FBA" w:rsidP="00F26FBA">
      <w:pPr>
        <w:pStyle w:val="a4"/>
        <w:rPr>
          <w:rFonts w:ascii="Times New Roman" w:hAnsi="Times New Roman"/>
          <w:sz w:val="28"/>
          <w:szCs w:val="28"/>
        </w:rPr>
      </w:pPr>
      <w:r w:rsidRPr="00761C1D">
        <w:rPr>
          <w:rFonts w:ascii="Times New Roman" w:hAnsi="Times New Roman"/>
          <w:sz w:val="28"/>
          <w:szCs w:val="28"/>
        </w:rPr>
        <w:t xml:space="preserve"> З наказом ознайомлені: _____________ </w:t>
      </w:r>
      <w:r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/>
          <w:sz w:val="28"/>
          <w:szCs w:val="28"/>
        </w:rPr>
        <w:t>Чудін</w:t>
      </w:r>
      <w:proofErr w:type="spellEnd"/>
    </w:p>
    <w:p w:rsidR="00F26FBA" w:rsidRDefault="00F26FBA" w:rsidP="00F26FBA">
      <w:pPr>
        <w:pStyle w:val="a4"/>
        <w:ind w:left="2844" w:firstLine="696"/>
        <w:rPr>
          <w:rFonts w:ascii="Times New Roman" w:hAnsi="Times New Roman"/>
          <w:sz w:val="28"/>
          <w:szCs w:val="28"/>
        </w:rPr>
      </w:pPr>
      <w:r w:rsidRPr="00761C1D">
        <w:rPr>
          <w:rFonts w:ascii="Times New Roman" w:hAnsi="Times New Roman"/>
          <w:sz w:val="28"/>
          <w:szCs w:val="28"/>
        </w:rPr>
        <w:t xml:space="preserve">   _____________ </w:t>
      </w:r>
      <w:r>
        <w:rPr>
          <w:rFonts w:ascii="Times New Roman" w:hAnsi="Times New Roman"/>
          <w:sz w:val="28"/>
          <w:szCs w:val="28"/>
        </w:rPr>
        <w:t>І.П.Марку</w:t>
      </w:r>
    </w:p>
    <w:p w:rsidR="00F26FBA" w:rsidRDefault="00F26FBA" w:rsidP="00F26FBA">
      <w:pPr>
        <w:pStyle w:val="a4"/>
        <w:ind w:left="2844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О.С. </w:t>
      </w:r>
      <w:proofErr w:type="spellStart"/>
      <w:r>
        <w:rPr>
          <w:rFonts w:ascii="Times New Roman" w:hAnsi="Times New Roman"/>
          <w:sz w:val="28"/>
          <w:szCs w:val="28"/>
        </w:rPr>
        <w:t>Кильчик</w:t>
      </w:r>
      <w:proofErr w:type="spellEnd"/>
    </w:p>
    <w:p w:rsidR="00F26FBA" w:rsidRDefault="00F26FBA" w:rsidP="00F26FBA">
      <w:pPr>
        <w:pStyle w:val="a4"/>
        <w:ind w:left="2844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А.М. </w:t>
      </w:r>
      <w:proofErr w:type="spellStart"/>
      <w:r>
        <w:rPr>
          <w:rFonts w:ascii="Times New Roman" w:hAnsi="Times New Roman"/>
          <w:sz w:val="28"/>
          <w:szCs w:val="28"/>
        </w:rPr>
        <w:t>Гергі</w:t>
      </w:r>
      <w:proofErr w:type="spellEnd"/>
    </w:p>
    <w:p w:rsidR="00F26FBA" w:rsidRPr="00CF5BF0" w:rsidRDefault="00F26FBA" w:rsidP="00BC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26FBA" w:rsidRPr="00CF5BF0" w:rsidSect="00655894">
      <w:pgSz w:w="11906" w:h="16838"/>
      <w:pgMar w:top="964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196"/>
    <w:multiLevelType w:val="hybridMultilevel"/>
    <w:tmpl w:val="EB7C8F02"/>
    <w:lvl w:ilvl="0" w:tplc="1ECCC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480B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9119E"/>
    <w:multiLevelType w:val="multilevel"/>
    <w:tmpl w:val="A7B66E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F76F0F"/>
    <w:multiLevelType w:val="hybridMultilevel"/>
    <w:tmpl w:val="4A1ED408"/>
    <w:lvl w:ilvl="0" w:tplc="FD1EF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894"/>
    <w:rsid w:val="00080429"/>
    <w:rsid w:val="00086856"/>
    <w:rsid w:val="001437D4"/>
    <w:rsid w:val="00185407"/>
    <w:rsid w:val="001D57D1"/>
    <w:rsid w:val="002105E6"/>
    <w:rsid w:val="00240EED"/>
    <w:rsid w:val="003A1976"/>
    <w:rsid w:val="004B5707"/>
    <w:rsid w:val="004E67A0"/>
    <w:rsid w:val="004F6C35"/>
    <w:rsid w:val="0053674C"/>
    <w:rsid w:val="005845F8"/>
    <w:rsid w:val="00655894"/>
    <w:rsid w:val="00683A3E"/>
    <w:rsid w:val="006B21BC"/>
    <w:rsid w:val="008727FB"/>
    <w:rsid w:val="008A1C65"/>
    <w:rsid w:val="008A239D"/>
    <w:rsid w:val="008D09CB"/>
    <w:rsid w:val="008D1F74"/>
    <w:rsid w:val="00960CB0"/>
    <w:rsid w:val="009E31E8"/>
    <w:rsid w:val="00AA11CC"/>
    <w:rsid w:val="00AE1CA4"/>
    <w:rsid w:val="00B02A22"/>
    <w:rsid w:val="00B560A9"/>
    <w:rsid w:val="00BC3E9E"/>
    <w:rsid w:val="00BD0017"/>
    <w:rsid w:val="00CF5BF0"/>
    <w:rsid w:val="00D96D9A"/>
    <w:rsid w:val="00DA2934"/>
    <w:rsid w:val="00F0573F"/>
    <w:rsid w:val="00F21887"/>
    <w:rsid w:val="00F26FBA"/>
    <w:rsid w:val="00F4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9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94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5589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table" w:styleId="a5">
    <w:name w:val="Table Grid"/>
    <w:basedOn w:val="a1"/>
    <w:uiPriority w:val="39"/>
    <w:rsid w:val="004B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F26FBA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6FBA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eastAsiaTheme="minorHAnsi"/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C6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CHUDIN</dc:creator>
  <cp:keywords/>
  <dc:description/>
  <cp:lastModifiedBy>Секретар</cp:lastModifiedBy>
  <cp:revision>4</cp:revision>
  <cp:lastPrinted>2022-08-05T07:12:00Z</cp:lastPrinted>
  <dcterms:created xsi:type="dcterms:W3CDTF">2022-07-31T11:20:00Z</dcterms:created>
  <dcterms:modified xsi:type="dcterms:W3CDTF">2022-08-05T07:54:00Z</dcterms:modified>
</cp:coreProperties>
</file>