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8C3A85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17.04.2020р.Додаток 1 перейти   за  цим  посиланням:</w:t>
      </w:r>
      <w:bookmarkStart w:id="0" w:name="_dx_frag_StartFragment"/>
      <w:bookmarkEnd w:id="0"/>
      <w:r>
        <w:rPr>
          <w:rStyle w:val="C2"/>
        </w:rPr>
        <w:fldChar w:fldCharType="begin"/>
      </w:r>
      <w:r>
        <w:rPr>
          <w:rStyle w:val="C2"/>
        </w:rPr>
        <w:instrText>HYPERLINK "https://www.youtube.com/watch?v=RRI22sdLP7U"</w:instrText>
      </w:r>
      <w:r>
        <w:rPr>
          <w:rStyle w:val="C2"/>
        </w:rPr>
        <w:fldChar w:fldCharType="separate"/>
      </w:r>
      <w:r>
        <w:rPr>
          <w:rStyle w:val="C2"/>
        </w:rPr>
        <w:t>https://www.youtube.com/watch?v=RRI22sdLP7U</w:t>
      </w:r>
      <w:r>
        <w:rPr>
          <w:rStyle w:val="C2"/>
        </w:rPr>
        <w:fldChar w:fldCharType="end"/>
      </w:r>
      <w:r>
        <w:t xml:space="preserve"> 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