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4A0" w14:textId="77777777" w:rsidR="00A9637A" w:rsidRPr="000660A2" w:rsidRDefault="00A9637A" w:rsidP="00A9637A">
      <w:pPr>
        <w:tabs>
          <w:tab w:val="left" w:pos="1134"/>
          <w:tab w:val="left" w:pos="3402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MS Sans Serif" w:eastAsia="Times New Roman" w:hAnsi="MS Sans Serif" w:cs="Times New Roman"/>
          <w:b/>
          <w:color w:val="000000"/>
          <w:position w:val="-1"/>
          <w:sz w:val="24"/>
          <w:szCs w:val="28"/>
          <w:lang w:eastAsia="ru-RU"/>
        </w:rPr>
      </w:pPr>
      <w:r w:rsidRPr="000660A2">
        <w:rPr>
          <w:rFonts w:ascii="MS Sans Serif" w:eastAsia="Times New Roman" w:hAnsi="MS Sans Serif" w:cs="Times New Roman"/>
          <w:b/>
          <w:color w:val="000000"/>
          <w:position w:val="-1"/>
          <w:sz w:val="16"/>
          <w:szCs w:val="24"/>
          <w:lang w:eastAsia="ru-RU"/>
        </w:rPr>
        <w:object w:dxaOrig="1243" w:dyaOrig="1579" w14:anchorId="70543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35.3pt" o:ole="">
            <v:imagedata r:id="rId5" o:title=""/>
          </v:shape>
          <o:OLEObject Type="Embed" ProgID="Word.Picture.8" ShapeID="_x0000_i1025" DrawAspect="Content" ObjectID="_1803218643" r:id="rId6"/>
        </w:object>
      </w:r>
    </w:p>
    <w:p w14:paraId="0F2ED006" w14:textId="77777777" w:rsidR="00A9637A" w:rsidRPr="000660A2" w:rsidRDefault="00A9637A" w:rsidP="00A9637A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660A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НИЖНЬОВЕРБІЗЬКИЙ ЛІЦЕЙ</w:t>
      </w:r>
    </w:p>
    <w:p w14:paraId="11EF3E1D" w14:textId="77777777" w:rsidR="00A9637A" w:rsidRPr="000660A2" w:rsidRDefault="00A9637A" w:rsidP="00A9637A">
      <w:pPr>
        <w:tabs>
          <w:tab w:val="left" w:pos="717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uk-UA"/>
        </w:rPr>
      </w:pPr>
      <w:r w:rsidRPr="000660A2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uk-UA"/>
        </w:rPr>
        <w:t xml:space="preserve">                                     </w:t>
      </w:r>
      <w:proofErr w:type="spellStart"/>
      <w:proofErr w:type="gramStart"/>
      <w:r w:rsidRPr="000660A2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uk-UA"/>
        </w:rPr>
        <w:t>Нижньовербізької</w:t>
      </w:r>
      <w:proofErr w:type="spellEnd"/>
      <w:r w:rsidRPr="000660A2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uk-UA"/>
        </w:rPr>
        <w:t xml:space="preserve">  </w:t>
      </w:r>
      <w:proofErr w:type="spellStart"/>
      <w:r w:rsidRPr="000660A2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uk-UA"/>
        </w:rPr>
        <w:t>сільської</w:t>
      </w:r>
      <w:proofErr w:type="spellEnd"/>
      <w:proofErr w:type="gramEnd"/>
      <w:r w:rsidRPr="000660A2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uk-UA"/>
        </w:rPr>
        <w:t xml:space="preserve"> ради  </w:t>
      </w:r>
    </w:p>
    <w:p w14:paraId="222EA066" w14:textId="77777777" w:rsidR="00A9637A" w:rsidRPr="000660A2" w:rsidRDefault="00A9637A" w:rsidP="00A9637A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вул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. </w:t>
      </w: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Українська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,113 </w:t>
      </w:r>
      <w:proofErr w:type="gram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 ,село</w:t>
      </w:r>
      <w:proofErr w:type="gram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Нижній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Вербіж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, </w:t>
      </w: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Івано-Франківська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область,78218,</w:t>
      </w:r>
    </w:p>
    <w:p w14:paraId="71CC35EE" w14:textId="77777777" w:rsidR="00A9637A" w:rsidRPr="000660A2" w:rsidRDefault="00A9637A" w:rsidP="00A9637A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тел.  </w:t>
      </w:r>
      <w:proofErr w:type="gram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0661107595 ,</w:t>
      </w:r>
      <w:proofErr w:type="gram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e</w:t>
      </w: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</w:t>
      </w: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mail</w:t>
      </w: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: </w:t>
      </w: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nvlicey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@</w:t>
      </w:r>
      <w:proofErr w:type="spellStart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ukr</w:t>
      </w:r>
      <w:proofErr w:type="spellEnd"/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  <w:t>net</w:t>
      </w:r>
      <w:r w:rsidRPr="000660A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Код ЄДРПОУ 20566583</w:t>
      </w:r>
    </w:p>
    <w:p w14:paraId="423DD33D" w14:textId="77777777" w:rsidR="00A9637A" w:rsidRPr="000660A2" w:rsidRDefault="00A9637A" w:rsidP="00A9637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eastAsia="ru-RU"/>
        </w:rPr>
      </w:pPr>
      <w:r w:rsidRPr="000660A2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F78F7" wp14:editId="43107DA9">
                <wp:simplePos x="0" y="0"/>
                <wp:positionH relativeFrom="column">
                  <wp:posOffset>-22860</wp:posOffset>
                </wp:positionH>
                <wp:positionV relativeFrom="paragraph">
                  <wp:posOffset>69215</wp:posOffset>
                </wp:positionV>
                <wp:extent cx="6153150" cy="38100"/>
                <wp:effectExtent l="0" t="19050" r="38100" b="762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B11361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5pt" to="48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" strokeweight="4.5pt">
                <v:stroke linestyle="thinThick"/>
                <v:shadow on="t" color="black" opacity="24903f" origin=",.5" offset="0,.55556mm"/>
              </v:line>
            </w:pict>
          </mc:Fallback>
        </mc:AlternateContent>
      </w:r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eastAsia="ru-RU"/>
        </w:rPr>
        <w:tab/>
      </w:r>
    </w:p>
    <w:p w14:paraId="58DD94AA" w14:textId="77777777" w:rsidR="00A9637A" w:rsidRPr="000660A2" w:rsidRDefault="00A9637A" w:rsidP="00A9637A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eastAsia="ru-RU"/>
        </w:rPr>
      </w:pPr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eastAsia="ru-RU"/>
        </w:rPr>
        <w:t>НАКАЗ</w:t>
      </w:r>
    </w:p>
    <w:p w14:paraId="479D1EDD" w14:textId="77777777" w:rsidR="00A9637A" w:rsidRPr="000660A2" w:rsidRDefault="00A9637A" w:rsidP="00A9637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8"/>
          <w:lang w:eastAsia="ru-RU"/>
        </w:rPr>
      </w:pPr>
    </w:p>
    <w:p w14:paraId="71B5EDB5" w14:textId="0A900A94" w:rsidR="00A9637A" w:rsidRPr="005C46B1" w:rsidRDefault="00A9637A" w:rsidP="00A9637A">
      <w:pPr>
        <w:suppressAutoHyphens/>
        <w:spacing w:after="0" w:line="48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</w:pPr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«     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21</w:t>
      </w:r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   »  </w:t>
      </w:r>
      <w:r w:rsidR="005C46B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листопада </w:t>
      </w:r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2021 р      </w:t>
      </w:r>
      <w:proofErr w:type="spellStart"/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с.Нижній</w:t>
      </w:r>
      <w:proofErr w:type="spellEnd"/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Вербіж</w:t>
      </w:r>
      <w:proofErr w:type="spellEnd"/>
      <w:r w:rsidRPr="000660A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                  №</w:t>
      </w:r>
      <w:r w:rsidR="005C46B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 132</w:t>
      </w:r>
      <w:bookmarkStart w:id="0" w:name="_GoBack"/>
      <w:bookmarkEnd w:id="0"/>
    </w:p>
    <w:p w14:paraId="6B6D2865" w14:textId="77777777" w:rsidR="00A9637A" w:rsidRPr="00446B0C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39D68" w14:textId="77777777" w:rsidR="00A9637A" w:rsidRPr="00446B0C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1" w:name="_heading=h.gjdgxs" w:colFirst="0" w:colLast="0"/>
      <w:bookmarkEnd w:id="1"/>
      <w:r w:rsidRPr="00446B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результати проведення </w:t>
      </w:r>
    </w:p>
    <w:p w14:paraId="66AA7C37" w14:textId="77777777" w:rsidR="00A9637A" w:rsidRPr="00446B0C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6B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внутрішнього самооцінювання </w:t>
      </w:r>
    </w:p>
    <w:p w14:paraId="356C373A" w14:textId="77777777" w:rsidR="00A9637A" w:rsidRPr="00446B0C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6B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освітнього середовища щодо забезпечення </w:t>
      </w:r>
    </w:p>
    <w:p w14:paraId="138F7F78" w14:textId="77777777" w:rsidR="00A9637A" w:rsidRPr="00446B0C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B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комфортних і безпечних умов навчання та праці</w:t>
      </w:r>
    </w:p>
    <w:p w14:paraId="0319D871" w14:textId="77777777" w:rsidR="00A9637A" w:rsidRPr="00446B0C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912339" w14:textId="77777777" w:rsidR="00A9637A" w:rsidRPr="00E243F1" w:rsidRDefault="00A9637A" w:rsidP="00A9637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4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Закону України «Про освіту», «Про загальну середню освіту», </w:t>
      </w:r>
      <w:r w:rsidRPr="00E243F1">
        <w:rPr>
          <w:rFonts w:ascii="Times New Roman" w:hAnsi="Times New Roman"/>
          <w:sz w:val="28"/>
          <w:szCs w:val="28"/>
          <w:lang w:val="uk-UA"/>
        </w:rPr>
        <w:t xml:space="preserve">керуючись Статутом  </w:t>
      </w:r>
      <w:r>
        <w:rPr>
          <w:rFonts w:ascii="Times New Roman" w:hAnsi="Times New Roman"/>
          <w:sz w:val="28"/>
          <w:szCs w:val="28"/>
          <w:lang w:val="uk-UA"/>
        </w:rPr>
        <w:t>Нижньовербізького ліцею</w:t>
      </w:r>
      <w:r w:rsidRPr="00E243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E24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Положенням про внутрішню систему забезпечення якості освіти Нижньовербізького ліцею, </w:t>
      </w:r>
      <w:r w:rsidRPr="00E24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розбудови внутрішньої системи забезпечення якості освіти, ефективно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проведення внутрішнього само</w:t>
      </w:r>
      <w:r w:rsidRPr="00E24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освітньої діяльності,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5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вересні-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лстопаді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було проведено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самооцінювання освітнього середовища.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29.09.2021 р. №140 о/д було створено робочу експертну групу у складі: </w:t>
      </w:r>
    </w:p>
    <w:p w14:paraId="0800EFB8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Керівник групи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Ковбаснюк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Л.О., вчитель початкових класів;</w:t>
      </w:r>
    </w:p>
    <w:p w14:paraId="26F91E31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Члени групи:</w:t>
      </w:r>
    </w:p>
    <w:p w14:paraId="3E08080E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працівників ліцею:</w:t>
      </w:r>
    </w:p>
    <w:p w14:paraId="5529DB26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Михайлюк О.М. – вчитель математики;</w:t>
      </w:r>
    </w:p>
    <w:p w14:paraId="41C92762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Паландюк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М.П.- вчитель зарубіжної літератури;</w:t>
      </w:r>
    </w:p>
    <w:p w14:paraId="5CF8A7A0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Коломийчук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М.В.- соціальний педагог;</w:t>
      </w:r>
    </w:p>
    <w:p w14:paraId="4A439AD6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Стефурак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В.М. – завідуючий господарством ліцею.  </w:t>
      </w:r>
    </w:p>
    <w:p w14:paraId="1E97EB4C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батьків: Андрушко Василь (батько Андрушко Емілії, 9а)</w:t>
      </w:r>
    </w:p>
    <w:p w14:paraId="452A7722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Маринець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Оксана (мати учня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Маринець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Олександра, 8а)</w:t>
      </w:r>
    </w:p>
    <w:p w14:paraId="092939DB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Чавага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Олександр (батько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Чаваги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Владислави ,4б)</w:t>
      </w:r>
    </w:p>
    <w:p w14:paraId="0D9D4C9F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учнів: Костюк Ярина, 9б клас;</w:t>
      </w:r>
    </w:p>
    <w:p w14:paraId="66911CDE" w14:textId="77777777" w:rsidR="00A9637A" w:rsidRPr="00446B0C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Василик Аліна , 11 клас;</w:t>
      </w:r>
    </w:p>
    <w:p w14:paraId="680D57D3" w14:textId="77777777" w:rsidR="00A9637A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Николюк</w:t>
      </w:r>
      <w:proofErr w:type="spellEnd"/>
      <w:r w:rsidRPr="00446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Ярина, 8а клас.</w:t>
      </w:r>
    </w:p>
    <w:p w14:paraId="62EF180F" w14:textId="77777777" w:rsidR="00A9637A" w:rsidRPr="00E243F1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Робоча група здійснила</w:t>
      </w:r>
      <w:r w:rsidRPr="00E24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самооцінювання освітнього середовища за вимогами:</w:t>
      </w:r>
    </w:p>
    <w:p w14:paraId="097AF28F" w14:textId="77777777" w:rsidR="00A9637A" w:rsidRPr="00E243F1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4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Забезпечення комфортних і безпечних умов навчання та праці;</w:t>
      </w:r>
    </w:p>
    <w:p w14:paraId="4CB81C22" w14:textId="77777777" w:rsidR="00A9637A" w:rsidRPr="00E243F1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4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Створення освітнього середовища вільного від насильства;</w:t>
      </w:r>
    </w:p>
    <w:p w14:paraId="4E1C296E" w14:textId="77777777" w:rsidR="00A9637A" w:rsidRPr="00E243F1" w:rsidRDefault="00A9637A" w:rsidP="00A963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4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Формування інклюзивного, розвивального та мотивуючого до навчання освітнього простору.</w:t>
      </w:r>
    </w:p>
    <w:p w14:paraId="296E3C13" w14:textId="77777777" w:rsidR="00A9637A" w:rsidRPr="001D3C03" w:rsidRDefault="00A9637A" w:rsidP="00A963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Робочою групою у складі     було здійснено самооцінювання умов навчання і праці та зроблено такі висновки:</w:t>
      </w:r>
    </w:p>
    <w:p w14:paraId="050379F3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Територія та приміщення чисті і охайні. Територія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достатньо велика,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озеленена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Покриття асфальту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добре, тротуарна плитка перед приміщенням ліцею у доброму стані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Здійснено функціональний розподіл  подвір’я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Вхід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ентральної вулиці села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Інший вхід -зі сторони стадіону, куди заходять діти,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приїздять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шкільним автобусом.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районі мікрорайону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ліцею, з двох сторін, з центрального боку та зі сторони стадіону ,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встановлено дорожній знак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 дорозі обладнано пішохідний перехід. Огорожа металева. Ворота і хвіртка закриваються, Територія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практично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недоступна для несанкціонованого заїзду транспорту та доступу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торонніх осіб.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відсутні колючі дерева, кущі, гриби та рослини з отруйними властивостями, зазначені у Переліку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Санітарного регламенту.</w:t>
      </w:r>
    </w:p>
    <w:p w14:paraId="716A18F8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Завгоспом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Стефураком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В.М.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двірниками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Андріяшко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Ясінським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В.Д.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щоденно здійснюється огляд території щодо її безпечності для учасників освітнього процесу. Протягом робочого дня черговий працівник здійснює нагляд за доступом сторонніх осіб в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 даний момент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освіти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стороннім особам і батькам, без особливої потреби, вхід не дозволяється в зв’язку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карантином. У приміщення закладу допускаються виключно учасники освітнього процесу</w:t>
      </w:r>
    </w:p>
    <w:p w14:paraId="0E4CDD0E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Уся територія ділянки закладу освітлюється у вечірній та нічний час світильниками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встановленими на приміщенні ліцею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вуличного освітлення.</w:t>
      </w:r>
    </w:p>
    <w:p w14:paraId="35C91869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 облаштовано багатофункціональний майданчик з твердим покриттям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 дитячий майданчик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спортивний майданчик для спортивних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занять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 наявності акти допуску до занять на спортивних спорудах, акти випробування. Огляд здійснюється 3 рази на рік із складанням відповідних актів.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Два ф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утбольн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ють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трав'яне покриття. Майно у справному стані, має естетичний вигляд. </w:t>
      </w:r>
    </w:p>
    <w:p w14:paraId="7EBA4211" w14:textId="77777777" w:rsidR="00A9637A" w:rsidRPr="001D3C03" w:rsidRDefault="00A9637A" w:rsidP="00A9637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учнів закладу освіти не перевищує його </w:t>
      </w:r>
      <w:proofErr w:type="spellStart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проєктну</w:t>
      </w:r>
      <w:proofErr w:type="spellEnd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потужність. За проектом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550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осіб,  відвідує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365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Навчальні кабінети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восьми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перших класів розміщені на першому поверсі. Навчальні кабінети непрохідні. Здобувачі знань 5-11 класів не мають потреби перебувати на цій площі.</w:t>
      </w:r>
      <w:r w:rsidRPr="001D3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приміщеннях закладу освіти повітряно-тепловий режим та освітлення відповідає санітарним нормам. Приміщення прибрані, вчасно здійснюється вологе прибирання, провітрювання і дезінфекція.</w:t>
      </w:r>
    </w:p>
    <w:p w14:paraId="4A8582C8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Туалети облаштовані відповідно до санітарно-гігієнічних вимог та утримуються в належному стані, частково відповідають вимогам санітарного регламенту.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початкових класів туалети знаходяться на 1 поверсі, для 5-11 класів – на 2 поверсі.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Здійснено заходи щодо облаштування кабінок, перегородок, встановлення </w:t>
      </w:r>
      <w:proofErr w:type="spellStart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електросушок</w:t>
      </w:r>
      <w:proofErr w:type="spellEnd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рук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встановлено контейнери для паперових рушничків, де встановлення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електросушки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неможливо.</w:t>
      </w:r>
    </w:p>
    <w:p w14:paraId="7EF70F30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У закладі дотримано питний режим у різні способи, є фонтанчик для пиття </w:t>
      </w:r>
      <w:proofErr w:type="spellStart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води,пляшки</w:t>
      </w:r>
      <w:proofErr w:type="spellEnd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індивідуального використання.</w:t>
      </w:r>
      <w:r w:rsidRPr="001D3C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670EB127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 закладу освіти використовуються раціонально, за призначенням. Комплектування класів відбувається з урахуванням чисельності здобувачів освіти, їх особливих освітніх потреб, площі навчальних приміщень</w:t>
      </w:r>
    </w:p>
    <w:p w14:paraId="39AF03CE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обладнані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персональні робочі місця для педагогічних працівників в навчальних кабінетах, місце для відпочинку,  облаштовані місця відпочинку для учасників освітнього процесу – в класах куточки усамітнення, в коридорі лавочки для сидіння, на подвір’ї .</w:t>
      </w:r>
    </w:p>
    <w:p w14:paraId="0A31B920" w14:textId="77777777" w:rsidR="00A9637A" w:rsidRPr="001D3C03" w:rsidRDefault="00A9637A" w:rsidP="00A9637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3"/>
          <w:tab w:val="left" w:pos="535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C0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 освіти забезпечений навчальними кабінетами і приміщеннями, необхідними для реалізації освітньої програми та забезпечення освітнього процесу. Облаштовано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навчальних кабінетів,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комп’ютерн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шкільна майстерня, бібліотека, медичний кабінет, методичний кабінет, спортивний зал, роздягалки для хлопців і дівчат, актова зала, їдальня, задіяні в освітній процес рекреації 1та 2 поверхів.</w:t>
      </w:r>
      <w:r w:rsidRPr="001D3C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кабінети обладнані засобами навчання для виконання відповідної навчальної програми.</w:t>
      </w:r>
    </w:p>
    <w:p w14:paraId="3097B873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Інструктажі та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 проводяться систематично (згідно з вимогами законодавства про охорону праці). До проведення інструктажів залучаються працівники Державної служби України з надзвичайних ситуацій. Учасники освітнього процесу дотримуються вимог щодо охорони праці, безпеки життєдіяльності, правил поведінки в умовах надзвичайних ситуацій. 3 рази на рік проводяться об’єктові тренування, навчання дій в надзвичайних ситуаціях.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класних кімнат наповнене інформацією про дії у НС.</w:t>
      </w:r>
      <w:r w:rsidRPr="001D3C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78BD39E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C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Інструктажі та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навчання з педагогічними працівниками щодо надання </w:t>
      </w:r>
      <w:proofErr w:type="spellStart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домедичної</w:t>
      </w:r>
      <w:proofErr w:type="spellEnd"/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допомоги, реагування на випадки травмування або погіршення самопочуття здобувачів освіти та працівників під час освітнього процесу проводяться систематично (згідно  з вимогами законодавства про охорону праці). Педагогічні працівники та керівництво у разі нещасного випадку діють у встановленому порядку. Порядок реагування на нещасні випадки розміщено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коридорі ліцею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алгоритм дій вчителя, керівника закладу затверджений наказом директора. Проводиться навчання з надання долікарської допомоги 1 раз на місяць з персоналом закладу та здобувачами знань згідно річного плану роботи.</w:t>
      </w:r>
    </w:p>
    <w:p w14:paraId="5A4224F2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освіти створено умови для формування культури здорового харчування у здобувачів освіти. З 1 вересня 2021 р. введено в дію Постанову 305 КМУ про Порядок харчування, який забезпечує здорове повноцінне харчування.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коридорі перед їдальнею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розміщено інформацію про заборонені продукти, інформація про здорове харчування . Гарячим харчуванням охоплено всіх здобувачів знань. Учасники освітнього процесу задоволені умовами харчування</w:t>
      </w:r>
    </w:p>
    <w:p w14:paraId="36903BDF" w14:textId="77777777" w:rsidR="00A9637A" w:rsidRPr="001D3C03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C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Комп’ютери закладу освіти обладнані технічними засобами та інструментами контролю щодо безпечного користування мережею Інтернет. У закладі освіти систематично проводиться (під час уроків, позакласних заходів) робота зі здобувачами освіти та їхніми батьками щодо попередження кібербулінгу та безпечного використання мережі Інтернет. Щодо безпечної поведінки в Інтернеті проводяться заходи, затверджені наказом директора. Проводиться робота з батьками та здобувачами 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ань щодо безпечного інтернету.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6559953" w14:textId="77777777" w:rsidR="00A9637A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Нижньовербізькому ліцеї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налагоджена система роботи з адаптації та інтеграції здобувачів освіти до освітнього процесу, педагогічних працівників до професійної діяльності. Переважна більшість батьків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(96%) </w:t>
      </w:r>
      <w:r w:rsidRPr="001D3C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вважають, що у їхніх дітей не виникали проблеми з адаптацією до умов закладу освіти. На початку навчального року наказом директора визначається адаптаційний період для учнів 1,5, 10 класів. Організовується класно-узагальнюючий моніторинг щодо адаптації 5-класників до навчання в базовій школі, проводиться психолого-педагогічний консиліум, питання адаптації розглядається на педагогічній раді. Педагогічні працівники не відчувають труднощів у адаптації до роботи в закладі освіти та педагогічному колективі зокрема.</w:t>
      </w:r>
    </w:p>
    <w:p w14:paraId="2CE7F1A6" w14:textId="77777777" w:rsidR="00A9637A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Робочою групою встановлено, що умови навчання та праці забезпечені на достатньому рівні.</w:t>
      </w:r>
    </w:p>
    <w:p w14:paraId="592E47BE" w14:textId="77777777" w:rsidR="00A9637A" w:rsidRDefault="00A9637A" w:rsidP="00A96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832714" w14:textId="77777777" w:rsidR="00A9637A" w:rsidRDefault="00A9637A" w:rsidP="00F008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</w:p>
    <w:p w14:paraId="457F090D" w14:textId="77777777" w:rsidR="00A9637A" w:rsidRDefault="00A9637A" w:rsidP="00A963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Оцінити стан забезпечення комфортних і безпечних умов праці в закладі освіти на достатньому рівні.</w:t>
      </w:r>
    </w:p>
    <w:p w14:paraId="358B08F2" w14:textId="77777777" w:rsidR="00A9637A" w:rsidRDefault="00A9637A" w:rsidP="00A963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План заходів щодо вдосконалення умов навчання та праці. (Додається).</w:t>
      </w:r>
    </w:p>
    <w:p w14:paraId="31E301DC" w14:textId="77777777" w:rsidR="00A9637A" w:rsidRDefault="00A9637A" w:rsidP="00A963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_Hlk118063298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Секретарю Григорчук Я.В. розмістити результати проведення внутрішнього самооцінювання на сайті ліцею.              До 22.12.2021 р.</w:t>
      </w:r>
    </w:p>
    <w:p w14:paraId="6CCB1582" w14:textId="77777777" w:rsidR="00A9637A" w:rsidRPr="00F00893" w:rsidRDefault="00A9637A" w:rsidP="00F0089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5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наказу залишаю за собою.</w:t>
      </w:r>
      <w:r w:rsidRPr="00745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008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46050C18" w14:textId="77777777" w:rsidR="00A9637A" w:rsidRDefault="00A9637A" w:rsidP="00A9637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Л.Ф.Стефурак</w:t>
      </w:r>
      <w:proofErr w:type="spellEnd"/>
    </w:p>
    <w:p w14:paraId="4AADD5E7" w14:textId="77777777" w:rsidR="00A9637A" w:rsidRPr="00F00893" w:rsidRDefault="00A9637A" w:rsidP="00F0089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tbl>
      <w:tblPr>
        <w:tblStyle w:val="7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3685"/>
        <w:gridCol w:w="3828"/>
      </w:tblGrid>
      <w:tr w:rsidR="00A9637A" w:rsidRPr="00923A91" w14:paraId="1147EC9C" w14:textId="77777777" w:rsidTr="00293D0C">
        <w:tc>
          <w:tcPr>
            <w:tcW w:w="2093" w:type="dxa"/>
          </w:tcPr>
          <w:p w14:paraId="09F3C8F3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6870D76F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8" w:type="dxa"/>
          </w:tcPr>
          <w:p w14:paraId="4C05B044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Л.О.Ковбаснюк</w:t>
            </w:r>
            <w:proofErr w:type="spellEnd"/>
          </w:p>
        </w:tc>
      </w:tr>
      <w:tr w:rsidR="00A9637A" w:rsidRPr="00923A91" w14:paraId="7FE94C8B" w14:textId="77777777" w:rsidTr="00293D0C">
        <w:tc>
          <w:tcPr>
            <w:tcW w:w="2093" w:type="dxa"/>
          </w:tcPr>
          <w:p w14:paraId="0F4CD03A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10DCF35A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8" w:type="dxa"/>
          </w:tcPr>
          <w:p w14:paraId="0770729B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О.М.Михайлюк</w:t>
            </w:r>
            <w:proofErr w:type="spellEnd"/>
          </w:p>
        </w:tc>
      </w:tr>
      <w:tr w:rsidR="00A9637A" w:rsidRPr="00923A91" w14:paraId="4388A772" w14:textId="77777777" w:rsidTr="00293D0C">
        <w:tc>
          <w:tcPr>
            <w:tcW w:w="2093" w:type="dxa"/>
          </w:tcPr>
          <w:p w14:paraId="342A5F17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588ED317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8" w:type="dxa"/>
          </w:tcPr>
          <w:p w14:paraId="7A44FC1C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М.В.Коломийчук</w:t>
            </w:r>
            <w:proofErr w:type="spellEnd"/>
          </w:p>
        </w:tc>
      </w:tr>
      <w:tr w:rsidR="00A9637A" w:rsidRPr="00923A91" w14:paraId="5A9B3C5D" w14:textId="77777777" w:rsidTr="00293D0C">
        <w:tc>
          <w:tcPr>
            <w:tcW w:w="2093" w:type="dxa"/>
          </w:tcPr>
          <w:p w14:paraId="6C8CA231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6A373393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8" w:type="dxa"/>
          </w:tcPr>
          <w:p w14:paraId="62C27F51" w14:textId="77777777" w:rsidR="00A9637A" w:rsidRPr="00923A91" w:rsidRDefault="00A9637A" w:rsidP="00293D0C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В.М.Стефурак</w:t>
            </w:r>
            <w:proofErr w:type="spellEnd"/>
          </w:p>
        </w:tc>
      </w:tr>
    </w:tbl>
    <w:p w14:paraId="106791E2" w14:textId="77777777" w:rsidR="007E359E" w:rsidRPr="00F00893" w:rsidRDefault="00F008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proofErr w:type="spellStart"/>
      <w:r w:rsidRPr="00F00893">
        <w:rPr>
          <w:rFonts w:ascii="Times New Roman" w:hAnsi="Times New Roman" w:cs="Times New Roman"/>
          <w:sz w:val="28"/>
          <w:szCs w:val="28"/>
          <w:lang w:val="uk-UA"/>
        </w:rPr>
        <w:t>Я.В.Григорчук</w:t>
      </w:r>
      <w:bookmarkEnd w:id="2"/>
      <w:proofErr w:type="spellEnd"/>
    </w:p>
    <w:sectPr w:rsidR="007E359E" w:rsidRPr="00F00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93FC3"/>
    <w:multiLevelType w:val="hybridMultilevel"/>
    <w:tmpl w:val="5492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A"/>
    <w:rsid w:val="005C46B1"/>
    <w:rsid w:val="007E359E"/>
    <w:rsid w:val="00811429"/>
    <w:rsid w:val="008528CE"/>
    <w:rsid w:val="00A9637A"/>
    <w:rsid w:val="00B94B8D"/>
    <w:rsid w:val="00F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6D5A"/>
  <w15:chartTrackingRefBased/>
  <w15:docId w15:val="{06F3FCB1-F767-417B-A843-A5B1A2A3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3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7A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A963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9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6071</Words>
  <Characters>3461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2025-03-11T15:17:00Z</dcterms:created>
  <dcterms:modified xsi:type="dcterms:W3CDTF">2025-03-11T15:17:00Z</dcterms:modified>
</cp:coreProperties>
</file>