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F7A0">
      <w:pPr>
        <w:spacing w:line="240" w:lineRule="auto"/>
        <w:rPr>
          <w:rFonts w:ascii="Times New Roman" w:hAnsi="Times New Roman" w:cs="Times New Roman"/>
          <w:b/>
          <w:color w:val="auto"/>
          <w:highlight w:val="white"/>
        </w:rPr>
      </w:pPr>
      <w:r>
        <w:rPr>
          <w:rFonts w:ascii="Times New Roman" w:hAnsi="Times New Roman" w:cs="Times New Roman"/>
          <w:b/>
          <w:color w:val="auto"/>
          <w:highlight w:val="white"/>
        </w:rPr>
        <w:t xml:space="preserve"> </w:t>
      </w:r>
    </w:p>
    <w:p w14:paraId="5F00C150">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МІНІСТЕРСТВО ОСВІТИ І НАУКИ УКРАЇНИ</w:t>
      </w:r>
    </w:p>
    <w:p w14:paraId="3B051492">
      <w:pPr>
        <w:spacing w:line="240" w:lineRule="auto"/>
        <w:rPr>
          <w:rFonts w:ascii="Times New Roman" w:hAnsi="Times New Roman" w:eastAsia="Times New Roman" w:cs="Times New Roman"/>
          <w:b/>
          <w:color w:val="auto"/>
          <w:sz w:val="36"/>
          <w:szCs w:val="36"/>
          <w:highlight w:val="white"/>
        </w:rPr>
      </w:pPr>
    </w:p>
    <w:p w14:paraId="4CF2FE34">
      <w:pPr>
        <w:spacing w:line="240" w:lineRule="auto"/>
        <w:rPr>
          <w:rFonts w:ascii="Times New Roman" w:hAnsi="Times New Roman" w:eastAsia="Times New Roman" w:cs="Times New Roman"/>
          <w:b/>
          <w:color w:val="auto"/>
          <w:sz w:val="36"/>
          <w:szCs w:val="36"/>
          <w:highlight w:val="white"/>
        </w:rPr>
      </w:pPr>
    </w:p>
    <w:p w14:paraId="210EF094">
      <w:pPr>
        <w:spacing w:line="240" w:lineRule="auto"/>
        <w:jc w:val="center"/>
        <w:rPr>
          <w:rFonts w:ascii="Times New Roman" w:hAnsi="Times New Roman" w:eastAsia="Times New Roman" w:cs="Times New Roman"/>
          <w:b/>
          <w:color w:val="auto"/>
          <w:sz w:val="36"/>
          <w:szCs w:val="36"/>
          <w:highlight w:val="white"/>
        </w:rPr>
      </w:pPr>
    </w:p>
    <w:p w14:paraId="55300F84">
      <w:pPr>
        <w:spacing w:line="240" w:lineRule="auto"/>
        <w:jc w:val="center"/>
        <w:rPr>
          <w:rFonts w:ascii="Times New Roman" w:hAnsi="Times New Roman" w:eastAsia="Times New Roman" w:cs="Times New Roman"/>
          <w:b/>
          <w:color w:val="auto"/>
          <w:sz w:val="36"/>
          <w:szCs w:val="36"/>
          <w:highlight w:val="white"/>
        </w:rPr>
      </w:pPr>
    </w:p>
    <w:p w14:paraId="2FD02C2C">
      <w:pPr>
        <w:spacing w:line="240" w:lineRule="auto"/>
        <w:jc w:val="center"/>
        <w:rPr>
          <w:rFonts w:ascii="Times New Roman" w:hAnsi="Times New Roman" w:eastAsia="Times New Roman" w:cs="Times New Roman"/>
          <w:b/>
          <w:color w:val="auto"/>
          <w:sz w:val="36"/>
          <w:szCs w:val="36"/>
          <w:highlight w:val="white"/>
        </w:rPr>
      </w:pPr>
    </w:p>
    <w:p w14:paraId="603B5911">
      <w:pPr>
        <w:spacing w:line="240" w:lineRule="auto"/>
        <w:jc w:val="center"/>
        <w:rPr>
          <w:rFonts w:ascii="Times New Roman" w:hAnsi="Times New Roman" w:eastAsia="Times New Roman" w:cs="Times New Roman"/>
          <w:b/>
          <w:color w:val="auto"/>
          <w:sz w:val="36"/>
          <w:szCs w:val="36"/>
          <w:highlight w:val="white"/>
        </w:rPr>
      </w:pPr>
    </w:p>
    <w:p w14:paraId="5FD4CD25">
      <w:pPr>
        <w:spacing w:line="240" w:lineRule="auto"/>
        <w:jc w:val="center"/>
        <w:rPr>
          <w:rFonts w:ascii="Times New Roman" w:hAnsi="Times New Roman" w:eastAsia="Times New Roman" w:cs="Times New Roman"/>
          <w:b/>
          <w:color w:val="auto"/>
          <w:sz w:val="36"/>
          <w:szCs w:val="36"/>
          <w:highlight w:val="white"/>
        </w:rPr>
      </w:pPr>
      <w:r>
        <w:rPr>
          <w:rFonts w:ascii="Times New Roman" w:hAnsi="Times New Roman" w:eastAsia="Times New Roman" w:cs="Times New Roman"/>
          <w:b/>
          <w:color w:val="auto"/>
          <w:sz w:val="36"/>
          <w:szCs w:val="36"/>
          <w:highlight w:val="white"/>
        </w:rPr>
        <w:t>МАТЕМАТИКА</w:t>
      </w:r>
    </w:p>
    <w:p w14:paraId="01CEFAD5">
      <w:pPr>
        <w:spacing w:line="240" w:lineRule="auto"/>
        <w:jc w:val="center"/>
        <w:rPr>
          <w:rFonts w:ascii="Times New Roman" w:hAnsi="Times New Roman" w:eastAsia="Times New Roman" w:cs="Times New Roman"/>
          <w:b/>
          <w:color w:val="auto"/>
          <w:sz w:val="36"/>
          <w:szCs w:val="36"/>
          <w:highlight w:val="white"/>
        </w:rPr>
      </w:pPr>
    </w:p>
    <w:p w14:paraId="7C79708D">
      <w:pPr>
        <w:spacing w:line="240" w:lineRule="auto"/>
        <w:jc w:val="center"/>
        <w:rPr>
          <w:rFonts w:ascii="Times New Roman" w:hAnsi="Times New Roman" w:eastAsia="Times New Roman" w:cs="Times New Roman"/>
          <w:b/>
          <w:color w:val="auto"/>
          <w:sz w:val="36"/>
          <w:szCs w:val="36"/>
          <w:highlight w:val="white"/>
        </w:rPr>
      </w:pPr>
    </w:p>
    <w:p w14:paraId="59DFD3C0">
      <w:pPr>
        <w:spacing w:line="240" w:lineRule="auto"/>
        <w:jc w:val="center"/>
        <w:rPr>
          <w:rFonts w:ascii="Times New Roman" w:hAnsi="Times New Roman" w:eastAsia="Times New Roman" w:cs="Times New Roman"/>
          <w:b/>
          <w:color w:val="auto"/>
          <w:sz w:val="36"/>
          <w:szCs w:val="36"/>
          <w:highlight w:val="white"/>
        </w:rPr>
      </w:pPr>
    </w:p>
    <w:p w14:paraId="7ACB4756">
      <w:pPr>
        <w:spacing w:line="240" w:lineRule="auto"/>
        <w:jc w:val="center"/>
        <w:rPr>
          <w:rFonts w:ascii="Times New Roman" w:hAnsi="Times New Roman" w:eastAsia="Times New Roman" w:cs="Times New Roman"/>
          <w:b/>
          <w:color w:val="auto"/>
          <w:sz w:val="36"/>
          <w:szCs w:val="36"/>
          <w:highlight w:val="white"/>
        </w:rPr>
      </w:pPr>
      <w:r>
        <w:rPr>
          <w:rFonts w:ascii="Times New Roman" w:hAnsi="Times New Roman" w:eastAsia="Times New Roman" w:cs="Times New Roman"/>
          <w:b/>
          <w:color w:val="auto"/>
          <w:sz w:val="36"/>
          <w:szCs w:val="36"/>
          <w:highlight w:val="white"/>
        </w:rPr>
        <w:t>5–9 класи</w:t>
      </w:r>
    </w:p>
    <w:p w14:paraId="637C9F3B">
      <w:pPr>
        <w:spacing w:line="240" w:lineRule="auto"/>
        <w:jc w:val="center"/>
        <w:rPr>
          <w:rFonts w:ascii="Times New Roman" w:hAnsi="Times New Roman" w:eastAsia="Times New Roman" w:cs="Times New Roman"/>
          <w:b/>
          <w:color w:val="auto"/>
          <w:sz w:val="36"/>
          <w:szCs w:val="36"/>
          <w:highlight w:val="white"/>
        </w:rPr>
      </w:pPr>
    </w:p>
    <w:p w14:paraId="3EF59757">
      <w:pPr>
        <w:spacing w:line="240" w:lineRule="auto"/>
        <w:jc w:val="center"/>
        <w:rPr>
          <w:rFonts w:ascii="Times New Roman" w:hAnsi="Times New Roman" w:eastAsia="Times New Roman" w:cs="Times New Roman"/>
          <w:b/>
          <w:color w:val="auto"/>
          <w:sz w:val="36"/>
          <w:szCs w:val="36"/>
          <w:highlight w:val="white"/>
        </w:rPr>
      </w:pPr>
    </w:p>
    <w:p w14:paraId="6EBBB693">
      <w:pPr>
        <w:spacing w:line="240" w:lineRule="auto"/>
        <w:jc w:val="center"/>
        <w:rPr>
          <w:rFonts w:ascii="Times New Roman" w:hAnsi="Times New Roman" w:eastAsia="Times New Roman" w:cs="Times New Roman"/>
          <w:b/>
          <w:color w:val="auto"/>
          <w:sz w:val="36"/>
          <w:szCs w:val="36"/>
          <w:highlight w:val="white"/>
        </w:rPr>
      </w:pPr>
    </w:p>
    <w:p w14:paraId="32581AAB">
      <w:pPr>
        <w:spacing w:line="240" w:lineRule="auto"/>
        <w:jc w:val="center"/>
        <w:rPr>
          <w:rFonts w:ascii="Times New Roman" w:hAnsi="Times New Roman" w:eastAsia="Times New Roman" w:cs="Times New Roman"/>
          <w:b/>
          <w:color w:val="auto"/>
          <w:sz w:val="36"/>
          <w:szCs w:val="36"/>
          <w:highlight w:val="white"/>
        </w:rPr>
      </w:pPr>
    </w:p>
    <w:p w14:paraId="7903CFEF">
      <w:pPr>
        <w:spacing w:line="240" w:lineRule="auto"/>
        <w:jc w:val="center"/>
        <w:rPr>
          <w:rFonts w:ascii="Times New Roman" w:hAnsi="Times New Roman" w:eastAsia="Times New Roman" w:cs="Times New Roman"/>
          <w:b/>
          <w:color w:val="auto"/>
          <w:sz w:val="36"/>
          <w:szCs w:val="36"/>
          <w:highlight w:val="white"/>
        </w:rPr>
      </w:pPr>
    </w:p>
    <w:p w14:paraId="224CFE69">
      <w:pPr>
        <w:spacing w:line="240" w:lineRule="auto"/>
        <w:jc w:val="center"/>
        <w:rPr>
          <w:rFonts w:ascii="Times New Roman" w:hAnsi="Times New Roman" w:eastAsia="Times New Roman" w:cs="Times New Roman"/>
          <w:i/>
          <w:color w:val="auto"/>
          <w:sz w:val="36"/>
          <w:szCs w:val="36"/>
          <w:highlight w:val="white"/>
        </w:rPr>
      </w:pPr>
      <w:r>
        <w:rPr>
          <w:rFonts w:ascii="Times New Roman" w:hAnsi="Times New Roman" w:eastAsia="Times New Roman" w:cs="Times New Roman"/>
          <w:i/>
          <w:color w:val="auto"/>
          <w:sz w:val="36"/>
          <w:szCs w:val="36"/>
          <w:highlight w:val="white"/>
        </w:rPr>
        <w:t>Навчальна програма для загальноосвітніх навчальних закладів</w:t>
      </w:r>
      <w:r>
        <w:rPr>
          <w:rStyle w:val="14"/>
          <w:rFonts w:ascii="Times New Roman" w:hAnsi="Times New Roman" w:eastAsia="Times New Roman" w:cs="Times New Roman"/>
          <w:i/>
          <w:color w:val="auto"/>
          <w:sz w:val="36"/>
          <w:szCs w:val="36"/>
          <w:highlight w:val="white"/>
        </w:rPr>
        <w:footnoteReference w:id="0"/>
      </w:r>
    </w:p>
    <w:p w14:paraId="7EC8BBE9">
      <w:pPr>
        <w:spacing w:line="240" w:lineRule="auto"/>
        <w:rPr>
          <w:rFonts w:ascii="Times New Roman" w:hAnsi="Times New Roman" w:cs="Times New Roman"/>
          <w:b/>
          <w:color w:val="auto"/>
          <w:highlight w:val="white"/>
        </w:rPr>
      </w:pPr>
      <w:r>
        <w:rPr>
          <w:rFonts w:ascii="Times New Roman" w:hAnsi="Times New Roman" w:cs="Times New Roman"/>
          <w:b/>
          <w:color w:val="auto"/>
          <w:highlight w:val="white"/>
        </w:rPr>
        <w:t xml:space="preserve"> </w:t>
      </w:r>
    </w:p>
    <w:p w14:paraId="75DDDB91">
      <w:pPr>
        <w:pStyle w:val="37"/>
        <w:ind w:firstLine="567"/>
        <w:rPr>
          <w:rFonts w:ascii="Times New Roman" w:hAnsi="Times New Roman" w:cs="Times New Roman"/>
          <w:b/>
          <w:i/>
          <w:sz w:val="28"/>
          <w:szCs w:val="28"/>
        </w:rPr>
      </w:pPr>
    </w:p>
    <w:p w14:paraId="5B3D48AE">
      <w:pPr>
        <w:pStyle w:val="37"/>
        <w:ind w:firstLine="567"/>
        <w:rPr>
          <w:rFonts w:ascii="Times New Roman" w:hAnsi="Times New Roman" w:cs="Times New Roman"/>
          <w:b/>
          <w:i/>
          <w:sz w:val="28"/>
          <w:szCs w:val="28"/>
        </w:rPr>
      </w:pPr>
    </w:p>
    <w:p w14:paraId="591A108E">
      <w:pPr>
        <w:pStyle w:val="37"/>
        <w:ind w:firstLine="567"/>
        <w:rPr>
          <w:rFonts w:ascii="Times New Roman" w:hAnsi="Times New Roman" w:cs="Times New Roman"/>
          <w:b/>
          <w:i/>
          <w:sz w:val="28"/>
          <w:szCs w:val="28"/>
        </w:rPr>
      </w:pPr>
    </w:p>
    <w:p w14:paraId="57F9ED27">
      <w:pPr>
        <w:pStyle w:val="37"/>
        <w:ind w:firstLine="567"/>
        <w:rPr>
          <w:rFonts w:ascii="Times New Roman" w:hAnsi="Times New Roman" w:cs="Times New Roman"/>
          <w:b/>
          <w:i/>
          <w:sz w:val="28"/>
          <w:szCs w:val="28"/>
        </w:rPr>
      </w:pPr>
    </w:p>
    <w:p w14:paraId="2A0BDBA5">
      <w:pPr>
        <w:pStyle w:val="37"/>
        <w:ind w:firstLine="567"/>
        <w:rPr>
          <w:rFonts w:ascii="Times New Roman" w:hAnsi="Times New Roman" w:cs="Times New Roman"/>
          <w:b/>
          <w:i/>
          <w:sz w:val="28"/>
          <w:szCs w:val="28"/>
        </w:rPr>
      </w:pPr>
    </w:p>
    <w:p w14:paraId="23F600B1">
      <w:pPr>
        <w:pStyle w:val="37"/>
        <w:ind w:firstLine="567"/>
        <w:rPr>
          <w:rFonts w:ascii="Times New Roman" w:hAnsi="Times New Roman" w:cs="Times New Roman"/>
          <w:b/>
          <w:i/>
          <w:sz w:val="28"/>
          <w:szCs w:val="28"/>
        </w:rPr>
      </w:pPr>
    </w:p>
    <w:p w14:paraId="2F853F2C">
      <w:pPr>
        <w:pStyle w:val="37"/>
        <w:ind w:firstLine="567"/>
        <w:rPr>
          <w:rFonts w:ascii="Times New Roman" w:hAnsi="Times New Roman" w:cs="Times New Roman"/>
          <w:b/>
          <w:i/>
          <w:sz w:val="28"/>
          <w:szCs w:val="28"/>
        </w:rPr>
      </w:pPr>
    </w:p>
    <w:p w14:paraId="25D54FA8">
      <w:pPr>
        <w:pStyle w:val="37"/>
        <w:ind w:firstLine="567"/>
        <w:rPr>
          <w:rFonts w:ascii="Times New Roman" w:hAnsi="Times New Roman" w:cs="Times New Roman"/>
          <w:b/>
          <w:i/>
          <w:sz w:val="28"/>
          <w:szCs w:val="28"/>
        </w:rPr>
      </w:pPr>
    </w:p>
    <w:p w14:paraId="035D9D40">
      <w:pPr>
        <w:pStyle w:val="37"/>
        <w:ind w:firstLine="567"/>
        <w:rPr>
          <w:rFonts w:ascii="Times New Roman" w:hAnsi="Times New Roman" w:cs="Times New Roman"/>
          <w:b/>
          <w:i/>
          <w:sz w:val="28"/>
          <w:szCs w:val="28"/>
        </w:rPr>
      </w:pPr>
    </w:p>
    <w:p w14:paraId="39666316">
      <w:pPr>
        <w:pStyle w:val="37"/>
        <w:ind w:firstLine="567"/>
        <w:rPr>
          <w:rFonts w:ascii="Times New Roman" w:hAnsi="Times New Roman" w:cs="Times New Roman"/>
          <w:b/>
          <w:i/>
          <w:sz w:val="28"/>
          <w:szCs w:val="28"/>
        </w:rPr>
      </w:pPr>
    </w:p>
    <w:p w14:paraId="27F41DBB">
      <w:pPr>
        <w:pStyle w:val="37"/>
        <w:ind w:firstLine="567"/>
        <w:rPr>
          <w:rFonts w:ascii="Times New Roman" w:hAnsi="Times New Roman" w:cs="Times New Roman"/>
          <w:b/>
          <w:i/>
          <w:sz w:val="28"/>
          <w:szCs w:val="28"/>
        </w:rPr>
      </w:pPr>
    </w:p>
    <w:p w14:paraId="5B25677F">
      <w:pPr>
        <w:pStyle w:val="37"/>
        <w:ind w:firstLine="567"/>
        <w:rPr>
          <w:rFonts w:ascii="Times New Roman" w:hAnsi="Times New Roman" w:cs="Times New Roman"/>
          <w:b/>
          <w:i/>
          <w:sz w:val="28"/>
          <w:szCs w:val="28"/>
        </w:rPr>
      </w:pPr>
    </w:p>
    <w:p w14:paraId="450067CD">
      <w:pPr>
        <w:pStyle w:val="37"/>
        <w:ind w:firstLine="567"/>
        <w:rPr>
          <w:rFonts w:ascii="Times New Roman" w:hAnsi="Times New Roman" w:cs="Times New Roman"/>
          <w:b/>
          <w:i/>
          <w:sz w:val="28"/>
          <w:szCs w:val="28"/>
        </w:rPr>
      </w:pPr>
    </w:p>
    <w:p w14:paraId="3B9AF632">
      <w:pPr>
        <w:pStyle w:val="37"/>
        <w:ind w:firstLine="567"/>
        <w:rPr>
          <w:rFonts w:ascii="Times New Roman" w:hAnsi="Times New Roman" w:cs="Times New Roman"/>
          <w:b/>
          <w:i/>
          <w:sz w:val="28"/>
          <w:szCs w:val="28"/>
        </w:rPr>
      </w:pPr>
    </w:p>
    <w:p w14:paraId="42E3A405">
      <w:pPr>
        <w:pStyle w:val="37"/>
        <w:ind w:firstLine="567"/>
        <w:rPr>
          <w:rFonts w:ascii="Times New Roman" w:hAnsi="Times New Roman" w:cs="Times New Roman"/>
          <w:b/>
          <w:i/>
          <w:sz w:val="28"/>
          <w:szCs w:val="28"/>
        </w:rPr>
      </w:pPr>
    </w:p>
    <w:p w14:paraId="32183513">
      <w:pPr>
        <w:pStyle w:val="37"/>
        <w:ind w:firstLine="567"/>
        <w:rPr>
          <w:rFonts w:ascii="Times New Roman" w:hAnsi="Times New Roman" w:cs="Times New Roman"/>
          <w:b/>
          <w:i/>
          <w:sz w:val="28"/>
          <w:szCs w:val="28"/>
        </w:rPr>
      </w:pPr>
    </w:p>
    <w:p w14:paraId="65B8EAE6">
      <w:pPr>
        <w:pStyle w:val="37"/>
        <w:ind w:firstLine="567"/>
        <w:rPr>
          <w:rFonts w:ascii="Times New Roman" w:hAnsi="Times New Roman" w:cs="Times New Roman"/>
          <w:b/>
          <w:i/>
          <w:sz w:val="28"/>
          <w:szCs w:val="28"/>
        </w:rPr>
      </w:pPr>
    </w:p>
    <w:p w14:paraId="021860F6">
      <w:pPr>
        <w:pStyle w:val="37"/>
        <w:ind w:firstLine="567"/>
        <w:rPr>
          <w:rFonts w:ascii="Times New Roman" w:hAnsi="Times New Roman" w:cs="Times New Roman"/>
          <w:sz w:val="28"/>
          <w:szCs w:val="28"/>
        </w:rPr>
      </w:pPr>
      <w:r>
        <w:rPr>
          <w:rFonts w:ascii="Times New Roman" w:hAnsi="Times New Roman" w:cs="Times New Roman"/>
          <w:b/>
          <w:i/>
          <w:sz w:val="28"/>
          <w:szCs w:val="28"/>
        </w:rPr>
        <w:t>Укладачі програми (2012 р.)</w:t>
      </w:r>
      <w:r>
        <w:rPr>
          <w:rFonts w:ascii="Times New Roman" w:hAnsi="Times New Roman" w:cs="Times New Roman"/>
          <w:b/>
          <w:sz w:val="28"/>
          <w:szCs w:val="28"/>
        </w:rPr>
        <w:t>:</w:t>
      </w:r>
      <w:r>
        <w:rPr>
          <w:rFonts w:ascii="Times New Roman" w:hAnsi="Times New Roman" w:cs="Times New Roman"/>
          <w:sz w:val="28"/>
          <w:szCs w:val="28"/>
        </w:rPr>
        <w:t xml:space="preserve"> М. І. Бурда, Ю. І. Мальований, Є. П. Нелін, </w:t>
      </w:r>
      <w:r>
        <w:rPr>
          <w:rFonts w:ascii="Times New Roman" w:hAnsi="Times New Roman" w:cs="Times New Roman"/>
          <w:sz w:val="28"/>
          <w:szCs w:val="28"/>
        </w:rPr>
        <w:br w:type="textWrapping"/>
      </w:r>
      <w:r>
        <w:rPr>
          <w:rFonts w:ascii="Times New Roman" w:hAnsi="Times New Roman" w:cs="Times New Roman"/>
          <w:sz w:val="28"/>
          <w:szCs w:val="28"/>
        </w:rPr>
        <w:t>Д. А. Номировський, А. В. Паньков, Н. А. Тарасенкова, М. В. Чемерис, М. С. Якір</w:t>
      </w:r>
    </w:p>
    <w:p w14:paraId="7C4C63F4">
      <w:pPr>
        <w:pStyle w:val="37"/>
        <w:ind w:firstLine="567"/>
        <w:rPr>
          <w:rFonts w:ascii="Times New Roman" w:hAnsi="Times New Roman" w:cs="Times New Roman"/>
          <w:sz w:val="28"/>
          <w:szCs w:val="28"/>
        </w:rPr>
      </w:pPr>
      <w:r>
        <w:rPr>
          <w:rFonts w:ascii="Times New Roman" w:hAnsi="Times New Roman" w:cs="Times New Roman"/>
          <w:b/>
          <w:i/>
          <w:sz w:val="28"/>
          <w:szCs w:val="28"/>
        </w:rPr>
        <w:t>У розвантаженні програми (2015 рік) брали участь:</w:t>
      </w:r>
      <w:r>
        <w:rPr>
          <w:rFonts w:ascii="Times New Roman" w:hAnsi="Times New Roman" w:cs="Times New Roman"/>
          <w:b/>
          <w:sz w:val="28"/>
          <w:szCs w:val="28"/>
        </w:rPr>
        <w:t xml:space="preserve"> </w:t>
      </w:r>
      <w:r>
        <w:rPr>
          <w:rFonts w:ascii="Times New Roman" w:hAnsi="Times New Roman" w:eastAsia="Times New Roman" w:cs="Times New Roman"/>
          <w:sz w:val="28"/>
          <w:szCs w:val="28"/>
          <w:lang w:eastAsia="ru-RU"/>
        </w:rPr>
        <w:t xml:space="preserve">М. І. Бурда,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А. В. Паньков, М. С. Якір, Д. А. Номіровський </w:t>
      </w:r>
    </w:p>
    <w:p w14:paraId="19A37664">
      <w:pPr>
        <w:pStyle w:val="37"/>
        <w:rPr>
          <w:rFonts w:ascii="Times New Roman" w:hAnsi="Times New Roman" w:eastAsia="Times New Roman" w:cs="Times New Roman"/>
          <w:color w:val="auto"/>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Над оновленням програми (2017 рік) працювали</w:t>
      </w:r>
      <w:r>
        <w:rPr>
          <w:rFonts w:ascii="Times New Roman" w:hAnsi="Times New Roman" w:cs="Times New Roman"/>
          <w:i/>
          <w:sz w:val="28"/>
          <w:szCs w:val="28"/>
        </w:rPr>
        <w:t>:</w:t>
      </w:r>
      <w:r>
        <w:rPr>
          <w:rFonts w:ascii="Times New Roman" w:hAnsi="Times New Roman" w:cs="Times New Roman"/>
          <w:sz w:val="28"/>
          <w:szCs w:val="28"/>
        </w:rPr>
        <w:t xml:space="preserve"> </w:t>
      </w:r>
      <w:r>
        <w:rPr>
          <w:rFonts w:ascii="Times New Roman" w:hAnsi="Times New Roman" w:eastAsia="Times New Roman" w:cs="Times New Roman"/>
          <w:color w:val="auto"/>
          <w:sz w:val="28"/>
          <w:szCs w:val="28"/>
        </w:rPr>
        <w:t xml:space="preserve">М. І. Бурда, </w:t>
      </w:r>
      <w:r>
        <w:rPr>
          <w:rFonts w:ascii="Times New Roman" w:hAnsi="Times New Roman" w:eastAsia="Times New Roman" w:cs="Times New Roman"/>
          <w:color w:val="auto"/>
          <w:sz w:val="28"/>
          <w:szCs w:val="28"/>
        </w:rPr>
        <w:br w:type="textWrapping"/>
      </w:r>
      <w:r>
        <w:rPr>
          <w:rFonts w:ascii="Times New Roman" w:hAnsi="Times New Roman" w:eastAsia="Times New Roman" w:cs="Times New Roman"/>
          <w:color w:val="auto"/>
          <w:sz w:val="28"/>
          <w:szCs w:val="28"/>
        </w:rPr>
        <w:t xml:space="preserve">Б. В. Кудренко, О. Я. Біляніна, А. І. Азаренкова, О. І. Буковська, Т. С. Кіндюх, </w:t>
      </w:r>
      <w:r>
        <w:rPr>
          <w:rFonts w:ascii="Times New Roman" w:hAnsi="Times New Roman" w:eastAsia="Times New Roman" w:cs="Times New Roman"/>
          <w:color w:val="auto"/>
          <w:sz w:val="28"/>
          <w:szCs w:val="28"/>
        </w:rPr>
        <w:br w:type="textWrapping"/>
      </w:r>
      <w:r>
        <w:rPr>
          <w:rFonts w:ascii="Times New Roman" w:hAnsi="Times New Roman" w:eastAsia="Times New Roman" w:cs="Times New Roman"/>
          <w:color w:val="auto"/>
          <w:sz w:val="28"/>
          <w:szCs w:val="28"/>
        </w:rPr>
        <w:t>О. Є. Лисенко, А. В. Миляник, Н. В. Панова, А. В. Паньков</w:t>
      </w:r>
    </w:p>
    <w:p w14:paraId="2F01905A">
      <w:pPr>
        <w:spacing w:line="240" w:lineRule="auto"/>
        <w:rPr>
          <w:rFonts w:ascii="Times New Roman" w:hAnsi="Times New Roman" w:cs="Times New Roman"/>
          <w:b/>
          <w:color w:val="auto"/>
          <w:highlight w:val="white"/>
        </w:rPr>
      </w:pPr>
    </w:p>
    <w:p w14:paraId="6A0BA51C">
      <w:pPr>
        <w:spacing w:line="240" w:lineRule="auto"/>
        <w:jc w:val="center"/>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ПОЯСНЮВАЛЬНА ЗАПИСКА</w:t>
      </w:r>
    </w:p>
    <w:p w14:paraId="5BCA09E6">
      <w:pPr>
        <w:keepNext/>
        <w:spacing w:line="240" w:lineRule="auto"/>
        <w:ind w:left="-142" w:firstLine="709"/>
        <w:jc w:val="both"/>
        <w:rPr>
          <w:rFonts w:ascii="Times New Roman" w:hAnsi="Times New Roman" w:eastAsia="Times New Roman" w:cs="Times New Roman"/>
          <w:b/>
          <w:i/>
          <w:sz w:val="28"/>
          <w:szCs w:val="28"/>
        </w:rPr>
      </w:pPr>
      <w:r>
        <w:rPr>
          <w:rFonts w:ascii="Times New Roman" w:hAnsi="Times New Roman" w:eastAsia="Times New Roman" w:cs="Times New Roman"/>
          <w:i/>
          <w:color w:val="auto"/>
          <w:sz w:val="28"/>
          <w:szCs w:val="28"/>
          <w:highlight w:val="white"/>
        </w:rPr>
        <w:t>Мета базової загальної середньої освіти</w:t>
      </w:r>
      <w:r>
        <w:rPr>
          <w:rFonts w:ascii="Times New Roman" w:hAnsi="Times New Roman" w:eastAsia="Times New Roman" w:cs="Times New Roman"/>
          <w:sz w:val="28"/>
          <w:szCs w:val="28"/>
        </w:rPr>
        <w:t xml:space="preserve">: розвиток та соціалізація особистості учнів,  формування їхньої національної самосвідомості, загальної культури, світоглядних орієнтирів, екологічного стилю мислення і поведінки,  творчих здібностей, дослідницьких навичок і навичок життєзабезпечення, здатності до саморозвитку та самонавчання в умовах глобальних змін і викликів. </w:t>
      </w:r>
    </w:p>
    <w:p w14:paraId="70EA9784">
      <w:pPr>
        <w:spacing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та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 </w:t>
      </w:r>
    </w:p>
    <w:p w14:paraId="72C3906C">
      <w:pPr>
        <w:spacing w:line="240" w:lineRule="auto"/>
        <w:ind w:left="-3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Провідним засобом реалізації вказаної мети є запровадження компетентнісного підходу у навчально-виховнийий процес загальноосвітньої школи шляхом формування предметних і ключових компетентностей. </w:t>
      </w:r>
    </w:p>
    <w:p w14:paraId="5388679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Курс математики основної школи логічно продовжує реалізацію завдань математичної освіти учнів, розпочату в початкових класах, розширюючи і доповнюючи ці завдання відповідно до вікових і пізнавальних можливостей школярів. В основу побудови змісту та організації процесу навчання математики покладено </w:t>
      </w:r>
      <w:r>
        <w:rPr>
          <w:rFonts w:ascii="Times New Roman" w:hAnsi="Times New Roman" w:eastAsia="Times New Roman" w:cs="Times New Roman"/>
          <w:i/>
          <w:color w:val="auto"/>
          <w:sz w:val="28"/>
          <w:szCs w:val="28"/>
          <w:highlight w:val="white"/>
        </w:rPr>
        <w:t>компетентнісний підхід</w:t>
      </w:r>
      <w:r>
        <w:rPr>
          <w:rFonts w:ascii="Times New Roman" w:hAnsi="Times New Roman" w:eastAsia="Times New Roman" w:cs="Times New Roman"/>
          <w:color w:val="auto"/>
          <w:sz w:val="28"/>
          <w:szCs w:val="28"/>
          <w:highlight w:val="white"/>
        </w:rPr>
        <w:t>, відповідно до якого кінцевим результатом навчання предмета є сформовані певні компетентності</w:t>
      </w:r>
      <w:r>
        <w:rPr>
          <w:rFonts w:ascii="Times New Roman" w:hAnsi="Times New Roman" w:eastAsia="Times New Roman" w:cs="Times New Roman"/>
          <w:color w:val="auto"/>
          <w:sz w:val="28"/>
          <w:szCs w:val="28"/>
          <w:shd w:val="clear" w:color="auto" w:fill="FFFFFF"/>
        </w:rPr>
        <w:t xml:space="preserve">, як здатності учня </w:t>
      </w:r>
      <w:r>
        <w:rPr>
          <w:rFonts w:ascii="Times New Roman" w:hAnsi="Times New Roman" w:eastAsia="Times New Roman" w:cs="Times New Roman"/>
          <w:iCs/>
          <w:color w:val="auto"/>
          <w:sz w:val="28"/>
          <w:szCs w:val="28"/>
          <w:lang w:eastAsia="ru-RU"/>
        </w:rPr>
        <w:t>застосовувати свої знання в навчальних і реальних життєвих ситуаціях, повноцінно брати участь в житті суспільства, нести відповідальність за свої дії.</w:t>
      </w:r>
      <w:r>
        <w:rPr>
          <w:rFonts w:ascii="Times New Roman" w:hAnsi="Times New Roman" w:eastAsia="Times New Roman" w:cs="Times New Roman"/>
          <w:color w:val="auto"/>
          <w:sz w:val="28"/>
          <w:szCs w:val="28"/>
          <w:shd w:val="clear" w:color="auto" w:fill="FFFFFF"/>
        </w:rPr>
        <w:t xml:space="preserve"> </w:t>
      </w:r>
      <w:r>
        <w:rPr>
          <w:rFonts w:ascii="Times New Roman" w:hAnsi="Times New Roman" w:eastAsia="Times New Roman" w:cs="Times New Roman"/>
          <w:color w:val="auto"/>
          <w:sz w:val="28"/>
          <w:szCs w:val="28"/>
          <w:highlight w:val="white"/>
        </w:rPr>
        <w:t>Навчання математики в основній школі передбачає формування предметної математичної компетентності, сутнісний опис якої подано у розділі «Очікувані результати навчально-пізнавальної діяльності» цієї програми. Формування зазначеної компетентності підпорядковується реалізації загальних завдань шкільної математичної освіти. До них належать:</w:t>
      </w:r>
    </w:p>
    <w:p w14:paraId="32FBA690">
      <w:pPr>
        <w:pStyle w:val="32"/>
        <w:numPr>
          <w:ilvl w:val="0"/>
          <w:numId w:val="1"/>
        </w:numPr>
        <w:tabs>
          <w:tab w:val="left" w:pos="1134"/>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формування </w:t>
      </w:r>
      <w:r>
        <w:rPr>
          <w:rFonts w:ascii="Times New Roman" w:hAnsi="Times New Roman" w:eastAsia="Times New Roman" w:cs="Times New Roman"/>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до математики як невід’ємної складової загальної культури людини, необхідної умови її повноцінного життя в сучасному суспільстві на основі ознайомлення з ідеями і методами математики як універсальної мови науки і техніки, ефективного засобу моделювання і дослідження процесів і явищ навколишнього світу;</w:t>
      </w:r>
    </w:p>
    <w:p w14:paraId="7B31A273">
      <w:pPr>
        <w:pStyle w:val="32"/>
        <w:numPr>
          <w:ilvl w:val="0"/>
          <w:numId w:val="1"/>
        </w:numPr>
        <w:tabs>
          <w:tab w:val="left" w:pos="1134"/>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забезпечення </w:t>
      </w:r>
      <w:r>
        <w:rPr>
          <w:rFonts w:ascii="Times New Roman" w:hAnsi="Times New Roman" w:eastAsia="Times New Roman" w:cs="Times New Roman"/>
          <w:i/>
          <w:color w:val="auto"/>
          <w:sz w:val="28"/>
          <w:szCs w:val="28"/>
          <w:highlight w:val="white"/>
        </w:rPr>
        <w:t>оволодіння</w:t>
      </w:r>
      <w:r>
        <w:rPr>
          <w:rFonts w:ascii="Times New Roman" w:hAnsi="Times New Roman" w:eastAsia="Times New Roman" w:cs="Times New Roman"/>
          <w:color w:val="auto"/>
          <w:sz w:val="28"/>
          <w:szCs w:val="28"/>
          <w:highlight w:val="white"/>
        </w:rPr>
        <w:t xml:space="preserve"> математичною мовою, розуміння ними математичної символіки, математичних формул і моделей як таких, що дають змогу описувати загальні властивості об’єктів, процесів та явищ;</w:t>
      </w:r>
    </w:p>
    <w:p w14:paraId="3A320233">
      <w:pPr>
        <w:pStyle w:val="32"/>
        <w:numPr>
          <w:ilvl w:val="0"/>
          <w:numId w:val="1"/>
        </w:numPr>
        <w:tabs>
          <w:tab w:val="left" w:pos="1134"/>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формування </w:t>
      </w:r>
      <w:r>
        <w:rPr>
          <w:rFonts w:ascii="Times New Roman" w:hAnsi="Times New Roman" w:eastAsia="Times New Roman" w:cs="Times New Roman"/>
          <w:i/>
          <w:color w:val="auto"/>
          <w:sz w:val="28"/>
          <w:szCs w:val="28"/>
          <w:highlight w:val="white"/>
        </w:rPr>
        <w:t>здатності</w:t>
      </w:r>
      <w:r>
        <w:rPr>
          <w:rFonts w:ascii="Times New Roman" w:hAnsi="Times New Roman" w:eastAsia="Times New Roman" w:cs="Times New Roman"/>
          <w:color w:val="auto"/>
          <w:sz w:val="28"/>
          <w:szCs w:val="28"/>
          <w:highlight w:val="white"/>
        </w:rPr>
        <w:t xml:space="preserve"> логічно обґрунтовувати та доводити математичні твердження, застосовувати математичні методи у процесі розв’язування навчальних і практичних задач, використовувати математичні знання і вміння під час вивчення інших навчальних предметів;</w:t>
      </w:r>
    </w:p>
    <w:p w14:paraId="2B8B3213">
      <w:pPr>
        <w:pStyle w:val="32"/>
        <w:numPr>
          <w:ilvl w:val="0"/>
          <w:numId w:val="1"/>
        </w:numPr>
        <w:tabs>
          <w:tab w:val="left" w:pos="1134"/>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розвиток </w:t>
      </w:r>
      <w:r>
        <w:rPr>
          <w:rFonts w:ascii="Times New Roman" w:hAnsi="Times New Roman" w:eastAsia="Times New Roman" w:cs="Times New Roman"/>
          <w:i/>
          <w:color w:val="auto"/>
          <w:sz w:val="28"/>
          <w:szCs w:val="28"/>
          <w:highlight w:val="white"/>
        </w:rPr>
        <w:t>умінь</w:t>
      </w:r>
      <w:r>
        <w:rPr>
          <w:rFonts w:ascii="Times New Roman" w:hAnsi="Times New Roman" w:eastAsia="Times New Roman" w:cs="Times New Roman"/>
          <w:color w:val="auto"/>
          <w:sz w:val="28"/>
          <w:szCs w:val="28"/>
          <w:highlight w:val="white"/>
        </w:rPr>
        <w:t xml:space="preserve"> працювати з підручником, опрацьовувати математичні тексти, шукати і використовувати додаткову навчальну інформацію, критично оцінювати здобуту інформацію та її джерела, виокремлювати головне, аналізувати, робити висновки, використовувати отриману інформацію в особистому житті;</w:t>
      </w:r>
    </w:p>
    <w:p w14:paraId="160CCAB0">
      <w:pPr>
        <w:pStyle w:val="32"/>
        <w:numPr>
          <w:ilvl w:val="0"/>
          <w:numId w:val="1"/>
        </w:numPr>
        <w:tabs>
          <w:tab w:val="left" w:pos="1134"/>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формування </w:t>
      </w:r>
      <w:r>
        <w:rPr>
          <w:rFonts w:ascii="Times New Roman" w:hAnsi="Times New Roman" w:eastAsia="Times New Roman" w:cs="Times New Roman"/>
          <w:i/>
          <w:color w:val="auto"/>
          <w:sz w:val="28"/>
          <w:szCs w:val="28"/>
          <w:highlight w:val="white"/>
        </w:rPr>
        <w:t>здатності</w:t>
      </w:r>
      <w:r>
        <w:rPr>
          <w:rFonts w:ascii="Times New Roman" w:hAnsi="Times New Roman" w:eastAsia="Times New Roman" w:cs="Times New Roman"/>
          <w:color w:val="auto"/>
          <w:sz w:val="28"/>
          <w:szCs w:val="28"/>
          <w:highlight w:val="white"/>
        </w:rPr>
        <w:t xml:space="preserve"> оцінювати правильність і раціональність розв’язування математичних задач, обґрунтовувати твердження, приймати рішення в умовах неповної, надлишкової, точної та ймовірнісної інформації.</w:t>
      </w:r>
    </w:p>
    <w:p w14:paraId="03C875DE">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Крім цих загальних освітніх завдань в основній школі реалізуються такі специфічні для даного етапу навчання математики освітні завдання:</w:t>
      </w:r>
    </w:p>
    <w:p w14:paraId="3C5E7467">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розширення знань про число (від натуральних чисел до дійсних), формування культури усних, письмових, інструментальних обчислень;</w:t>
      </w:r>
    </w:p>
    <w:p w14:paraId="0EA47A73">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формування системи функціональних понять, умінь використовувати функції та їх графіки для характеристики залежностей між величинами, опису явищ і процесів;</w:t>
      </w:r>
    </w:p>
    <w:p w14:paraId="56FA37E3">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забезпечення оволодіння учнями мовою алгебри, уміннями здійснювати перетворення алгебраїчних виразів, розв’язувати рівняння, нерівності та їх системи, моделювати за допомогою рівнянь реальні ситуації, пояснювати здобуті результати;</w:t>
      </w:r>
    </w:p>
    <w:p w14:paraId="583EDC73">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забезпечення оволодіння мовою геометрії, розвиток їх просторових уявлень і уяви, умінь виконувати основні геометричні побудови за допомогою геометричних інструментів (лінійки з поділками, транспортира, косинця, циркуля і лінійки);</w:t>
      </w:r>
    </w:p>
    <w:p w14:paraId="7E9C1193">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формування знань про геометричні фігури на площині, їх властивості, а також умінь застосовувати здобуті знання у навчальних і життєвих ситуаціях;</w:t>
      </w:r>
    </w:p>
    <w:p w14:paraId="445B2086">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формування уявлення про найпростіші геометричні фігури в просторі та їх властивості, а також первинних умінь застосовувати їх у навчальних і життєвих ситуаціях;</w:t>
      </w:r>
    </w:p>
    <w:p w14:paraId="76FB92B6">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ознайомлення зі способами і методами математичних доведень, формування умінь їх практичного використання;</w:t>
      </w:r>
    </w:p>
    <w:p w14:paraId="2C384EBF">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формування знань про основні геометричні величини (довжину, площу, об’єм, міру кута), про способи їх вимірювання й обчислення для планіметричних і найпростіших стереометричних фігур, а також уміння застосовувати здобуті знання у навчальних і життєвих ситуаціях;</w:t>
      </w:r>
    </w:p>
    <w:p w14:paraId="0731CE55">
      <w:pPr>
        <w:pStyle w:val="32"/>
        <w:numPr>
          <w:ilvl w:val="0"/>
          <w:numId w:val="2"/>
        </w:numPr>
        <w:tabs>
          <w:tab w:val="left" w:pos="1276"/>
        </w:tabs>
        <w:spacing w:line="240" w:lineRule="auto"/>
        <w:ind w:left="0"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вивчення геометричних перетворень площини та їх найпростіших властивостей, а також розвиток в учнів функціональних уявлень на геометричному змісті;</w:t>
      </w:r>
    </w:p>
    <w:p w14:paraId="1CC5374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Крім того, навчання математики має зробити певний внесок у формування ключових компетентностей.</w:t>
      </w:r>
    </w:p>
    <w:p w14:paraId="54E71CB9">
      <w:pPr>
        <w:spacing w:line="240" w:lineRule="auto"/>
        <w:ind w:firstLine="851"/>
        <w:jc w:val="both"/>
        <w:rPr>
          <w:rFonts w:ascii="Times New Roman" w:hAnsi="Times New Roman" w:eastAsia="Times New Roman" w:cs="Times New Roman"/>
          <w:color w:val="auto"/>
          <w:sz w:val="28"/>
          <w:szCs w:val="28"/>
          <w:highlight w:val="white"/>
        </w:rPr>
      </w:pPr>
    </w:p>
    <w:tbl>
      <w:tblPr>
        <w:tblStyle w:val="20"/>
        <w:tblW w:w="9923"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2835"/>
        <w:gridCol w:w="6413"/>
      </w:tblGrid>
      <w:tr w14:paraId="7438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145D54D">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 </w:t>
            </w:r>
          </w:p>
        </w:tc>
        <w:tc>
          <w:tcPr>
            <w:tcW w:w="2835"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2F14BA9F">
            <w:pPr>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rPr>
              <w:t>Ключові компетентності</w:t>
            </w:r>
          </w:p>
        </w:tc>
        <w:tc>
          <w:tcPr>
            <w:tcW w:w="6413"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494842D3">
            <w:pPr>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Компоненти</w:t>
            </w:r>
          </w:p>
        </w:tc>
      </w:tr>
      <w:tr w14:paraId="3B1F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323CF816">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1</w:t>
            </w:r>
          </w:p>
        </w:tc>
        <w:tc>
          <w:tcPr>
            <w:tcW w:w="2835" w:type="dxa"/>
            <w:tcBorders>
              <w:bottom w:val="single" w:color="000000" w:sz="8" w:space="0"/>
              <w:right w:val="single" w:color="000000" w:sz="8" w:space="0"/>
            </w:tcBorders>
            <w:tcMar>
              <w:top w:w="100" w:type="dxa"/>
              <w:left w:w="100" w:type="dxa"/>
              <w:bottom w:w="100" w:type="dxa"/>
              <w:right w:w="100" w:type="dxa"/>
            </w:tcMar>
          </w:tcPr>
          <w:p w14:paraId="68064253">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Спілкування державною (і рідною — у разі відмінності) мовами</w:t>
            </w:r>
          </w:p>
        </w:tc>
        <w:tc>
          <w:tcPr>
            <w:tcW w:w="6413" w:type="dxa"/>
            <w:tcBorders>
              <w:bottom w:val="single" w:color="000000" w:sz="8" w:space="0"/>
              <w:right w:val="single" w:color="000000" w:sz="8" w:space="0"/>
            </w:tcBorders>
            <w:tcMar>
              <w:top w:w="100" w:type="dxa"/>
              <w:left w:w="100" w:type="dxa"/>
              <w:bottom w:w="100" w:type="dxa"/>
              <w:right w:w="100" w:type="dxa"/>
            </w:tcMar>
          </w:tcPr>
          <w:p w14:paraId="532B5E4A">
            <w:pPr>
              <w:widowControl w:val="0"/>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таблицях, діаграмах, на графіках); розуміти, пояснювати і перетворювати тексти математичних задач (усно і письмово), грамотно висловлюватися рідною мовою; доречно та коректно вживати в мовленні математичну термінологію, чітко, лаконічно та зрозуміло формулювати думку, аргументувати, доводити правильність тверджень; поповнювати свій словниковий запас.</w:t>
            </w:r>
          </w:p>
          <w:p w14:paraId="41CD2B8D">
            <w:pPr>
              <w:widowControl w:val="0"/>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розуміння важливості чітких та лаконічних формулювань.</w:t>
            </w:r>
          </w:p>
          <w:p w14:paraId="770CA4EC">
            <w:pPr>
              <w:widowControl w:val="0"/>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означення понять, формулювання властивостей, доведення теорем</w:t>
            </w:r>
          </w:p>
        </w:tc>
      </w:tr>
      <w:tr w14:paraId="65CAF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54494DA8">
            <w:pPr>
              <w:widowControl w:val="0"/>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2</w:t>
            </w:r>
          </w:p>
        </w:tc>
        <w:tc>
          <w:tcPr>
            <w:tcW w:w="2835" w:type="dxa"/>
            <w:tcBorders>
              <w:bottom w:val="single" w:color="000000" w:sz="8" w:space="0"/>
              <w:right w:val="single" w:color="000000" w:sz="8" w:space="0"/>
            </w:tcBorders>
            <w:tcMar>
              <w:top w:w="100" w:type="dxa"/>
              <w:left w:w="100" w:type="dxa"/>
              <w:bottom w:w="100" w:type="dxa"/>
              <w:right w:w="100" w:type="dxa"/>
            </w:tcMar>
          </w:tcPr>
          <w:p w14:paraId="1B350B30">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Спілкування іноземними мовами</w:t>
            </w:r>
          </w:p>
        </w:tc>
        <w:tc>
          <w:tcPr>
            <w:tcW w:w="6413" w:type="dxa"/>
            <w:tcBorders>
              <w:bottom w:val="single" w:color="000000" w:sz="8" w:space="0"/>
              <w:right w:val="single" w:color="000000" w:sz="8" w:space="0"/>
            </w:tcBorders>
            <w:tcMar>
              <w:top w:w="100" w:type="dxa"/>
              <w:left w:w="100" w:type="dxa"/>
              <w:bottom w:w="100" w:type="dxa"/>
              <w:right w:w="100" w:type="dxa"/>
            </w:tcMar>
          </w:tcPr>
          <w:p w14:paraId="5CFAEC27">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спілкуватися іноземною мовою з використанням числівників, математичних понять і найуживаніших термінів; ставити запитання, формулювати проблему; зіставляти математичний термін чи буквене позначення з його походженням з іноземної мови, правильно використовувати математичні терміни в повсякденному житті.</w:t>
            </w:r>
          </w:p>
          <w:p w14:paraId="21428B75">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усвідомлення важливості вивчення іноземних мов для розуміння математичних термінів та позначень, пошуку інформації в іншомовних джерелах.</w:t>
            </w:r>
          </w:p>
          <w:p w14:paraId="10ECC194">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тексти іноземною мовою з використанням статистичних даних, математичних термінів</w:t>
            </w:r>
          </w:p>
        </w:tc>
      </w:tr>
      <w:tr w14:paraId="48F2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36381154">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3</w:t>
            </w:r>
          </w:p>
        </w:tc>
        <w:tc>
          <w:tcPr>
            <w:tcW w:w="2835" w:type="dxa"/>
            <w:tcBorders>
              <w:bottom w:val="single" w:color="000000" w:sz="8" w:space="0"/>
              <w:right w:val="single" w:color="000000" w:sz="8" w:space="0"/>
            </w:tcBorders>
            <w:tcMar>
              <w:top w:w="100" w:type="dxa"/>
              <w:left w:w="100" w:type="dxa"/>
              <w:bottom w:w="100" w:type="dxa"/>
              <w:right w:w="100" w:type="dxa"/>
            </w:tcMar>
          </w:tcPr>
          <w:p w14:paraId="1FFD8C59">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Математична компетентність</w:t>
            </w:r>
          </w:p>
        </w:tc>
        <w:tc>
          <w:tcPr>
            <w:tcW w:w="6413" w:type="dxa"/>
            <w:tcBorders>
              <w:bottom w:val="single" w:color="000000" w:sz="8" w:space="0"/>
              <w:right w:val="single" w:color="000000" w:sz="8" w:space="0"/>
            </w:tcBorders>
            <w:tcMar>
              <w:top w:w="100" w:type="dxa"/>
              <w:left w:w="100" w:type="dxa"/>
              <w:bottom w:w="100" w:type="dxa"/>
              <w:right w:w="100" w:type="dxa"/>
            </w:tcMar>
          </w:tcPr>
          <w:p w14:paraId="5CFDFB16">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оперувати числовою інформацією, геометричними об’єктами на площині та в просторі;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6966325">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дисциплін.</w:t>
            </w:r>
          </w:p>
          <w:p w14:paraId="2266485A">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розв'язування математичних задач, зокрема таких, що моделюють реальні життєві ситуації</w:t>
            </w:r>
          </w:p>
        </w:tc>
      </w:tr>
      <w:tr w14:paraId="5ECF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16E2227E">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4</w:t>
            </w:r>
          </w:p>
        </w:tc>
        <w:tc>
          <w:tcPr>
            <w:tcW w:w="2835" w:type="dxa"/>
            <w:tcBorders>
              <w:bottom w:val="single" w:color="000000" w:sz="8" w:space="0"/>
              <w:right w:val="single" w:color="000000" w:sz="8" w:space="0"/>
            </w:tcBorders>
            <w:tcMar>
              <w:top w:w="100" w:type="dxa"/>
              <w:left w:w="100" w:type="dxa"/>
              <w:bottom w:w="100" w:type="dxa"/>
              <w:right w:w="100" w:type="dxa"/>
            </w:tcMar>
          </w:tcPr>
          <w:p w14:paraId="7C51F311">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Основні компетентності у природничих науках і технологіях</w:t>
            </w:r>
          </w:p>
        </w:tc>
        <w:tc>
          <w:tcPr>
            <w:tcW w:w="6413" w:type="dxa"/>
            <w:tcBorders>
              <w:bottom w:val="single" w:color="000000" w:sz="8" w:space="0"/>
              <w:right w:val="single" w:color="000000" w:sz="8" w:space="0"/>
            </w:tcBorders>
            <w:tcMar>
              <w:top w:w="100" w:type="dxa"/>
              <w:left w:w="100" w:type="dxa"/>
              <w:bottom w:w="100" w:type="dxa"/>
              <w:right w:w="100" w:type="dxa"/>
            </w:tcMar>
          </w:tcPr>
          <w:p w14:paraId="6EE6D553">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розпізнавати проблеми, що виникають у довкіллі і які можна розв’язати засобами математики; будувати та досліджувати математичні моделі природних явищ і процесів.</w:t>
            </w:r>
          </w:p>
          <w:p w14:paraId="2892BEA0">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усвідомлення важливості математики як універсальної мови науки, техніки та технологій.</w:t>
            </w:r>
          </w:p>
          <w:p w14:paraId="20A7C224">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20FF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5C5B8193">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5</w:t>
            </w:r>
          </w:p>
        </w:tc>
        <w:tc>
          <w:tcPr>
            <w:tcW w:w="2835" w:type="dxa"/>
            <w:tcBorders>
              <w:bottom w:val="single" w:color="000000" w:sz="8" w:space="0"/>
              <w:right w:val="single" w:color="000000" w:sz="8" w:space="0"/>
            </w:tcBorders>
            <w:tcMar>
              <w:top w:w="100" w:type="dxa"/>
              <w:left w:w="100" w:type="dxa"/>
              <w:bottom w:w="100" w:type="dxa"/>
              <w:right w:w="100" w:type="dxa"/>
            </w:tcMar>
          </w:tcPr>
          <w:p w14:paraId="3D86D4F2">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Інформаційно-цифрова компетентність</w:t>
            </w:r>
          </w:p>
        </w:tc>
        <w:tc>
          <w:tcPr>
            <w:tcW w:w="6413" w:type="dxa"/>
            <w:tcBorders>
              <w:bottom w:val="single" w:color="000000" w:sz="8" w:space="0"/>
              <w:right w:val="single" w:color="000000" w:sz="8" w:space="0"/>
            </w:tcBorders>
            <w:tcMar>
              <w:top w:w="100" w:type="dxa"/>
              <w:left w:w="100" w:type="dxa"/>
              <w:bottom w:w="100" w:type="dxa"/>
              <w:right w:w="100" w:type="dxa"/>
            </w:tcMar>
          </w:tcPr>
          <w:p w14:paraId="78A41B02">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4AAD066D">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критичне осмислення інформації та джерел її отримання; усвідомлення важливості ІКТ для ефективного розв’язування математичних задач.</w:t>
            </w:r>
          </w:p>
          <w:p w14:paraId="6ADC503F">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візуалізація даних, побудова графіків та діаграм за допомогою програмних засобів</w:t>
            </w:r>
          </w:p>
        </w:tc>
      </w:tr>
      <w:tr w14:paraId="3CDF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03FCCD35">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6</w:t>
            </w:r>
          </w:p>
        </w:tc>
        <w:tc>
          <w:tcPr>
            <w:tcW w:w="2835" w:type="dxa"/>
            <w:tcBorders>
              <w:bottom w:val="single" w:color="000000" w:sz="8" w:space="0"/>
              <w:right w:val="single" w:color="000000" w:sz="8" w:space="0"/>
            </w:tcBorders>
            <w:tcMar>
              <w:top w:w="100" w:type="dxa"/>
              <w:left w:w="100" w:type="dxa"/>
              <w:bottom w:w="100" w:type="dxa"/>
              <w:right w:w="100" w:type="dxa"/>
            </w:tcMar>
          </w:tcPr>
          <w:p w14:paraId="14592AD8">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Уміння вчитися впродовж життя</w:t>
            </w:r>
          </w:p>
        </w:tc>
        <w:tc>
          <w:tcPr>
            <w:tcW w:w="6413" w:type="dxa"/>
            <w:tcBorders>
              <w:bottom w:val="single" w:color="000000" w:sz="8" w:space="0"/>
              <w:right w:val="single" w:color="000000" w:sz="8" w:space="0"/>
            </w:tcBorders>
            <w:tcMar>
              <w:top w:w="100" w:type="dxa"/>
              <w:left w:w="100" w:type="dxa"/>
              <w:bottom w:w="100" w:type="dxa"/>
              <w:right w:w="100" w:type="dxa"/>
            </w:tcMar>
          </w:tcPr>
          <w:p w14:paraId="3BCD69F9">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2675690">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6170BBBC">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моделювання власної освітньої траєкторії</w:t>
            </w:r>
          </w:p>
        </w:tc>
      </w:tr>
      <w:tr w14:paraId="6C8A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53B38BC1">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7</w:t>
            </w:r>
          </w:p>
        </w:tc>
        <w:tc>
          <w:tcPr>
            <w:tcW w:w="2835" w:type="dxa"/>
            <w:tcBorders>
              <w:bottom w:val="single" w:color="000000" w:sz="8" w:space="0"/>
              <w:right w:val="single" w:color="000000" w:sz="8" w:space="0"/>
            </w:tcBorders>
            <w:tcMar>
              <w:top w:w="100" w:type="dxa"/>
              <w:left w:w="100" w:type="dxa"/>
              <w:bottom w:w="100" w:type="dxa"/>
              <w:right w:w="100" w:type="dxa"/>
            </w:tcMar>
          </w:tcPr>
          <w:p w14:paraId="2A053A8A">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Ініціативність і підприємливість</w:t>
            </w:r>
          </w:p>
        </w:tc>
        <w:tc>
          <w:tcPr>
            <w:tcW w:w="6413" w:type="dxa"/>
            <w:tcBorders>
              <w:bottom w:val="single" w:color="000000" w:sz="8" w:space="0"/>
              <w:right w:val="single" w:color="000000" w:sz="8" w:space="0"/>
            </w:tcBorders>
            <w:tcMar>
              <w:top w:w="100" w:type="dxa"/>
              <w:left w:w="100" w:type="dxa"/>
              <w:bottom w:w="100" w:type="dxa"/>
              <w:right w:w="100" w:type="dxa"/>
            </w:tcMar>
          </w:tcPr>
          <w:p w14:paraId="25A3884A">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генерувати нові ідеї, вирішувати життєві проблеми, аналізувати, прогрозувати,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DB055A7">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0D2A82E">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задачі підприємницького змісту (оптимізаційні задачі)</w:t>
            </w:r>
          </w:p>
        </w:tc>
      </w:tr>
      <w:tr w14:paraId="106C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2531A6E7">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8</w:t>
            </w:r>
          </w:p>
        </w:tc>
        <w:tc>
          <w:tcPr>
            <w:tcW w:w="2835" w:type="dxa"/>
            <w:tcBorders>
              <w:bottom w:val="single" w:color="000000" w:sz="8" w:space="0"/>
              <w:right w:val="single" w:color="000000" w:sz="8" w:space="0"/>
            </w:tcBorders>
            <w:tcMar>
              <w:top w:w="100" w:type="dxa"/>
              <w:left w:w="100" w:type="dxa"/>
              <w:bottom w:w="100" w:type="dxa"/>
              <w:right w:w="100" w:type="dxa"/>
            </w:tcMar>
          </w:tcPr>
          <w:p w14:paraId="7CDCAEAD">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Соціальна і громадянська компетентності</w:t>
            </w:r>
          </w:p>
        </w:tc>
        <w:tc>
          <w:tcPr>
            <w:tcW w:w="6413" w:type="dxa"/>
            <w:tcBorders>
              <w:bottom w:val="single" w:color="000000" w:sz="8" w:space="0"/>
              <w:right w:val="single" w:color="000000" w:sz="8" w:space="0"/>
            </w:tcBorders>
            <w:tcMar>
              <w:top w:w="100" w:type="dxa"/>
              <w:left w:w="100" w:type="dxa"/>
              <w:bottom w:w="100" w:type="dxa"/>
              <w:right w:w="100" w:type="dxa"/>
            </w:tcMar>
          </w:tcPr>
          <w:p w14:paraId="39261CFB">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користуючись математичними методами; орієнтуватися в широкому колі послуг і товарів на основі чітких критеріїв, робити споживчий вибір, спираючись, зокрема, і на математичні дані.</w:t>
            </w:r>
          </w:p>
          <w:p w14:paraId="0632A606">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017E9AD">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задачі соціального змісту</w:t>
            </w:r>
          </w:p>
        </w:tc>
      </w:tr>
      <w:tr w14:paraId="430D2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2E65A2D4">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9</w:t>
            </w:r>
          </w:p>
        </w:tc>
        <w:tc>
          <w:tcPr>
            <w:tcW w:w="2835" w:type="dxa"/>
            <w:tcBorders>
              <w:bottom w:val="single" w:color="000000" w:sz="8" w:space="0"/>
              <w:right w:val="single" w:color="000000" w:sz="8" w:space="0"/>
            </w:tcBorders>
            <w:tcMar>
              <w:top w:w="100" w:type="dxa"/>
              <w:left w:w="100" w:type="dxa"/>
              <w:bottom w:w="100" w:type="dxa"/>
              <w:right w:w="100" w:type="dxa"/>
            </w:tcMar>
          </w:tcPr>
          <w:p w14:paraId="0C24775C">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Обізнаність і самовираження у сфері культури</w:t>
            </w:r>
          </w:p>
        </w:tc>
        <w:tc>
          <w:tcPr>
            <w:tcW w:w="6413" w:type="dxa"/>
            <w:tcBorders>
              <w:bottom w:val="single" w:color="000000" w:sz="8" w:space="0"/>
              <w:right w:val="single" w:color="000000" w:sz="8" w:space="0"/>
            </w:tcBorders>
            <w:tcMar>
              <w:top w:w="100" w:type="dxa"/>
              <w:left w:w="100" w:type="dxa"/>
              <w:bottom w:w="100" w:type="dxa"/>
              <w:right w:w="100" w:type="dxa"/>
            </w:tcMar>
          </w:tcPr>
          <w:p w14:paraId="6E03BDD1">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здійснювати необхідні розрахунки для встановлення пропорцій, відтворення перспективи, створення об’ємно-просторових композицій; унаочнювати математичні моделі, зображати фігури, графіки, рисунки, схеми, діаграми.</w:t>
            </w:r>
          </w:p>
          <w:p w14:paraId="2095DA03">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усвідомлення взаємозв’язку математики та культури на прикладах з архітектури, живопису, музики та ін.; розуміння важливості внеску математиків у загальносвітову культуру.</w:t>
            </w:r>
          </w:p>
          <w:p w14:paraId="2FD96BE6">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color w:val="auto"/>
                <w:sz w:val="28"/>
                <w:szCs w:val="28"/>
              </w:rPr>
              <w:t>математичні моделі в різних видах мистецтва</w:t>
            </w:r>
          </w:p>
        </w:tc>
      </w:tr>
      <w:tr w14:paraId="00657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6A03DB83">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10</w:t>
            </w:r>
          </w:p>
        </w:tc>
        <w:tc>
          <w:tcPr>
            <w:tcW w:w="2835" w:type="dxa"/>
            <w:tcBorders>
              <w:bottom w:val="single" w:color="000000" w:sz="8" w:space="0"/>
              <w:right w:val="single" w:color="000000" w:sz="8" w:space="0"/>
            </w:tcBorders>
            <w:tcMar>
              <w:top w:w="100" w:type="dxa"/>
              <w:left w:w="100" w:type="dxa"/>
              <w:bottom w:w="100" w:type="dxa"/>
              <w:right w:w="100" w:type="dxa"/>
            </w:tcMar>
          </w:tcPr>
          <w:p w14:paraId="310912BF">
            <w:pPr>
              <w:widowControl w:val="0"/>
              <w:spacing w:line="240" w:lineRule="auto"/>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Екологічна грамотність і здорове життя</w:t>
            </w:r>
          </w:p>
        </w:tc>
        <w:tc>
          <w:tcPr>
            <w:tcW w:w="6413" w:type="dxa"/>
            <w:tcBorders>
              <w:bottom w:val="single" w:color="000000" w:sz="8" w:space="0"/>
              <w:right w:val="single" w:color="000000" w:sz="8" w:space="0"/>
            </w:tcBorders>
            <w:tcMar>
              <w:top w:w="100" w:type="dxa"/>
              <w:left w:w="100" w:type="dxa"/>
              <w:bottom w:w="100" w:type="dxa"/>
              <w:right w:w="100" w:type="dxa"/>
            </w:tcMar>
          </w:tcPr>
          <w:p w14:paraId="44210147">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Уміння:</w:t>
            </w:r>
            <w:r>
              <w:rPr>
                <w:rFonts w:ascii="Times New Roman" w:hAnsi="Times New Roman" w:eastAsia="Times New Roman" w:cs="Times New Roman"/>
                <w:color w:val="auto"/>
                <w:sz w:val="28"/>
                <w:szCs w:val="28"/>
                <w:highlight w:val="white"/>
              </w:rPr>
              <w:t xml:space="preserve"> аналізувати і критично оцінювати соціально-економічні події в державі на основі статистичних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13ADD1B">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Ставлення:</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color w:val="auto"/>
                <w:sz w:val="28"/>
                <w:szCs w:val="28"/>
                <w:shd w:val="clear" w:color="auto" w:fill="FFFFFF"/>
              </w:rPr>
              <w:t xml:space="preserve">усвідомлення взаємозв’язку математики та екології на основі статистичних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A412642">
            <w:pPr>
              <w:spacing w:line="240" w:lineRule="auto"/>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Навчальні ресурси:</w:t>
            </w:r>
            <w:r>
              <w:rPr>
                <w:rFonts w:ascii="Times New Roman" w:hAnsi="Times New Roman" w:eastAsia="Times New Roman" w:cs="Times New Roman"/>
                <w:color w:val="auto"/>
                <w:sz w:val="28"/>
                <w:szCs w:val="28"/>
                <w:highlight w:val="white"/>
              </w:rPr>
              <w:t xml:space="preserve"> навчальні проекти, задачі соціально-економічного, екологічного змісту; задачі, які сприяють усвідомленню цінності здорового способу життя</w:t>
            </w:r>
          </w:p>
        </w:tc>
      </w:tr>
    </w:tbl>
    <w:p w14:paraId="4F7E6774">
      <w:pPr>
        <w:pStyle w:val="37"/>
        <w:jc w:val="both"/>
        <w:rPr>
          <w:rFonts w:ascii="Times New Roman" w:hAnsi="Times New Roman" w:cs="Times New Roman"/>
          <w:sz w:val="28"/>
          <w:szCs w:val="28"/>
          <w:highlight w:val="white"/>
        </w:rPr>
      </w:pPr>
    </w:p>
    <w:p w14:paraId="3F53BE22">
      <w:pPr>
        <w:pStyle w:val="37"/>
        <w:jc w:val="both"/>
        <w:rPr>
          <w:rFonts w:ascii="Times New Roman" w:hAnsi="Times New Roman" w:cs="Times New Roman"/>
          <w:sz w:val="28"/>
          <w:szCs w:val="28"/>
          <w:highlight w:val="white"/>
        </w:rPr>
      </w:pPr>
    </w:p>
    <w:p w14:paraId="0AB20349">
      <w:pPr>
        <w:pStyle w:val="37"/>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Такі ключові компетентності, як вміння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навчальних предметів. Виокремлення в навчальних програмах таких наскрізних ліній ключових компетентностей як </w:t>
      </w:r>
      <w:r>
        <w:rPr>
          <w:rFonts w:ascii="Times New Roman" w:hAnsi="Times New Roman" w:cs="Times New Roman"/>
          <w:b/>
          <w:sz w:val="28"/>
          <w:szCs w:val="28"/>
          <w:highlight w:val="white"/>
        </w:rPr>
        <w:t xml:space="preserve">«Екологічна безпека й сталий розвиток», «Громадянська відповідальність», «Здоров’я і безпека», </w:t>
      </w:r>
      <w:r>
        <w:rPr>
          <w:rFonts w:ascii="Times New Roman" w:hAnsi="Times New Roman" w:cs="Times New Roman"/>
          <w:sz w:val="28"/>
          <w:szCs w:val="28"/>
          <w:highlight w:val="white"/>
        </w:rPr>
        <w:t>«</w:t>
      </w:r>
      <w:r>
        <w:rPr>
          <w:rFonts w:ascii="Times New Roman" w:hAnsi="Times New Roman" w:cs="Times New Roman"/>
          <w:b/>
          <w:sz w:val="28"/>
          <w:szCs w:val="28"/>
          <w:highlight w:val="white"/>
        </w:rPr>
        <w:t xml:space="preserve">Підприємливість і фінансова грамотність» </w:t>
      </w:r>
      <w:r>
        <w:rPr>
          <w:rFonts w:ascii="Times New Roman" w:hAnsi="Times New Roman" w:cs="Times New Roman"/>
          <w:sz w:val="28"/>
          <w:szCs w:val="28"/>
          <w:highlight w:val="white"/>
        </w:rPr>
        <w:t>спрямоване на</w:t>
      </w:r>
      <w:r>
        <w:rPr>
          <w:rFonts w:ascii="Times New Roman" w:hAnsi="Times New Roman" w:cs="Times New Roman"/>
          <w:b/>
          <w:sz w:val="28"/>
          <w:szCs w:val="28"/>
          <w:highlight w:val="white"/>
        </w:rPr>
        <w:t xml:space="preserve"> </w:t>
      </w:r>
      <w:r>
        <w:rPr>
          <w:rFonts w:ascii="Times New Roman" w:hAnsi="Times New Roman" w:cs="Times New Roman"/>
          <w:sz w:val="28"/>
          <w:szCs w:val="28"/>
          <w:highlight w:val="white"/>
        </w:rPr>
        <w:t>формування в учнів здатності застосовувати знання й уміння у реальних життєвих ситуаціях.</w:t>
      </w:r>
    </w:p>
    <w:p w14:paraId="6A34AE55">
      <w:pPr>
        <w:pStyle w:val="37"/>
        <w:jc w:val="both"/>
        <w:rPr>
          <w:rFonts w:ascii="Times New Roman" w:hAnsi="Times New Roman" w:cs="Times New Roman"/>
          <w:b/>
          <w:sz w:val="28"/>
          <w:szCs w:val="28"/>
          <w:highlight w:val="white"/>
        </w:rPr>
      </w:pPr>
    </w:p>
    <w:p w14:paraId="0210D02B">
      <w:pPr>
        <w:spacing w:line="240" w:lineRule="auto"/>
        <w:ind w:firstLine="851"/>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Наскрізні лінії та їх реалізація</w:t>
      </w:r>
    </w:p>
    <w:p w14:paraId="5A0EBA91">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Наскрізні лінії є засобом інтеграції ключових і загальнопредметних компетентностей, навчальних предметів та предметних циклів; їх необхідно враховувати при формуванні шкільного середовища.</w:t>
      </w:r>
    </w:p>
    <w:p w14:paraId="02182852">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3CF7B85">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Навчання за наскрізними лініями реалізується насамперед через:</w:t>
      </w:r>
    </w:p>
    <w:p w14:paraId="79C2A430">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i/>
          <w:color w:val="auto"/>
          <w:sz w:val="28"/>
          <w:szCs w:val="28"/>
          <w:highlight w:val="white"/>
        </w:rPr>
        <w:t>організацію навчального середовища</w:t>
      </w:r>
      <w:r>
        <w:rPr>
          <w:rFonts w:ascii="Times New Roman" w:hAnsi="Times New Roman" w:eastAsia="Times New Roman" w:cs="Times New Roman"/>
          <w:color w:val="auto"/>
          <w:sz w:val="28"/>
          <w:szCs w:val="28"/>
          <w:highlight w:val="white"/>
        </w:rPr>
        <w:t xml:space="preserve"> — зміст та цілі наскрізних тем враховуються при формуванні духовного, соціального і фізичного середовища навчання;</w:t>
      </w:r>
    </w:p>
    <w:p w14:paraId="3B21B48F">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i/>
          <w:color w:val="auto"/>
          <w:sz w:val="28"/>
          <w:szCs w:val="28"/>
          <w:highlight w:val="white"/>
        </w:rPr>
        <w:t>навчальні предмети</w:t>
      </w:r>
      <w:r>
        <w:rPr>
          <w:rFonts w:ascii="Times New Roman" w:hAnsi="Times New Roman" w:eastAsia="Times New Roman" w:cs="Times New Roman"/>
          <w:color w:val="auto"/>
          <w:sz w:val="28"/>
          <w:szCs w:val="28"/>
          <w:highlight w:val="white"/>
        </w:rPr>
        <w:t xml:space="preserve">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навчальних предметів при навчанні за наскрізними темами різна і залежить від цілей і змісту навчального предмета та від того, наскільки тісно той чи інший предметний цикл пов’язаний із конкретною наскрізною темою;</w:t>
      </w:r>
    </w:p>
    <w:p w14:paraId="171893D0">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i/>
          <w:color w:val="auto"/>
          <w:sz w:val="28"/>
          <w:szCs w:val="28"/>
          <w:highlight w:val="white"/>
        </w:rPr>
        <w:t>предмети за вибором</w:t>
      </w:r>
      <w:r>
        <w:rPr>
          <w:rFonts w:ascii="Times New Roman" w:hAnsi="Times New Roman" w:eastAsia="Times New Roman" w:cs="Times New Roman"/>
          <w:color w:val="auto"/>
          <w:sz w:val="28"/>
          <w:szCs w:val="28"/>
          <w:highlight w:val="white"/>
        </w:rPr>
        <w:t xml:space="preserve">; </w:t>
      </w:r>
    </w:p>
    <w:p w14:paraId="24EB5F71">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i/>
          <w:color w:val="auto"/>
          <w:sz w:val="28"/>
          <w:szCs w:val="28"/>
          <w:highlight w:val="white"/>
        </w:rPr>
        <w:t>роботу в проектах</w:t>
      </w:r>
      <w:r>
        <w:rPr>
          <w:rFonts w:ascii="Times New Roman" w:hAnsi="Times New Roman" w:eastAsia="Times New Roman" w:cs="Times New Roman"/>
          <w:color w:val="auto"/>
          <w:sz w:val="28"/>
          <w:szCs w:val="28"/>
          <w:highlight w:val="white"/>
        </w:rPr>
        <w:t xml:space="preserve">; </w:t>
      </w:r>
    </w:p>
    <w:p w14:paraId="74B93376">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i/>
          <w:color w:val="auto"/>
          <w:sz w:val="28"/>
          <w:szCs w:val="28"/>
          <w:highlight w:val="white"/>
        </w:rPr>
        <w:t>позакласну навчальну роботу і роботу гуртків</w:t>
      </w:r>
      <w:r>
        <w:rPr>
          <w:rFonts w:ascii="Times New Roman" w:hAnsi="Times New Roman" w:eastAsia="Times New Roman" w:cs="Times New Roman"/>
          <w:color w:val="auto"/>
          <w:sz w:val="28"/>
          <w:szCs w:val="28"/>
          <w:highlight w:val="white"/>
        </w:rPr>
        <w:t>.</w:t>
      </w:r>
    </w:p>
    <w:p w14:paraId="7FF825A8">
      <w:pPr>
        <w:spacing w:line="240" w:lineRule="auto"/>
        <w:ind w:firstLine="851"/>
        <w:jc w:val="both"/>
        <w:rPr>
          <w:rFonts w:ascii="Times New Roman" w:hAnsi="Times New Roman" w:eastAsia="Times New Roman" w:cs="Times New Roman"/>
          <w:b/>
          <w:color w:val="auto"/>
          <w:sz w:val="28"/>
          <w:szCs w:val="28"/>
          <w:highlight w:val="white"/>
        </w:rPr>
      </w:pPr>
    </w:p>
    <w:p w14:paraId="6DC99E88">
      <w:pPr>
        <w:spacing w:line="240" w:lineRule="auto"/>
        <w:ind w:firstLine="851"/>
        <w:jc w:val="both"/>
        <w:rPr>
          <w:rFonts w:ascii="Times New Roman" w:hAnsi="Times New Roman" w:eastAsia="Times New Roman" w:cs="Times New Roman"/>
          <w:b/>
          <w:color w:val="auto"/>
          <w:sz w:val="28"/>
          <w:szCs w:val="28"/>
          <w:highlight w:val="white"/>
        </w:rPr>
      </w:pPr>
    </w:p>
    <w:p w14:paraId="6AD3B506">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color w:val="auto"/>
          <w:sz w:val="28"/>
          <w:szCs w:val="28"/>
          <w:highlight w:val="white"/>
        </w:rPr>
        <w:t>Коротка характеристика наскрізних ліній</w:t>
      </w:r>
      <w:r>
        <w:rPr>
          <w:rFonts w:ascii="Times New Roman" w:hAnsi="Times New Roman" w:eastAsia="Times New Roman" w:cs="Times New Roman"/>
          <w:color w:val="auto"/>
          <w:sz w:val="28"/>
          <w:szCs w:val="28"/>
          <w:highlight w:val="white"/>
        </w:rPr>
        <w:t xml:space="preserve"> </w:t>
      </w:r>
    </w:p>
    <w:p w14:paraId="56D49D7E">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color w:val="auto"/>
          <w:sz w:val="28"/>
          <w:szCs w:val="28"/>
          <w:highlight w:val="white"/>
        </w:rPr>
        <w:t>1.</w:t>
      </w:r>
      <w:r>
        <w:rPr>
          <w:rFonts w:ascii="Times New Roman" w:hAnsi="Times New Roman" w:eastAsia="Times New Roman" w:cs="Times New Roman"/>
          <w:color w:val="auto"/>
          <w:sz w:val="28"/>
          <w:szCs w:val="28"/>
          <w:highlight w:val="white"/>
        </w:rPr>
        <w:t xml:space="preserve"> Наскрізна лінія  </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b/>
          <w:i/>
          <w:color w:val="auto"/>
          <w:sz w:val="28"/>
          <w:szCs w:val="28"/>
          <w:highlight w:val="white"/>
        </w:rPr>
        <w:t>Екологічна безпека й сталий розвиток</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color w:val="auto"/>
          <w:sz w:val="28"/>
          <w:szCs w:val="28"/>
          <w:highlight w:val="white"/>
        </w:rPr>
        <w:t xml:space="preserve"> спрямована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5AABD6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Проблематика наскрізної лінії «Екологічна безпека та сталий розвиток» реалізується в курсі математики, насамперед,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При розгляді цієї лінії важливе місце займають відсоткові обчислення, функції, елементи статистики.</w:t>
      </w:r>
    </w:p>
    <w:p w14:paraId="7231991F">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color w:val="auto"/>
          <w:sz w:val="28"/>
          <w:szCs w:val="28"/>
          <w:highlight w:val="white"/>
        </w:rPr>
        <w:t xml:space="preserve">2. </w:t>
      </w:r>
      <w:r>
        <w:rPr>
          <w:rFonts w:ascii="Times New Roman" w:hAnsi="Times New Roman" w:eastAsia="Times New Roman" w:cs="Times New Roman"/>
          <w:color w:val="auto"/>
          <w:sz w:val="28"/>
          <w:szCs w:val="28"/>
          <w:highlight w:val="white"/>
        </w:rPr>
        <w:t xml:space="preserve">Реалізація наскрізної лінії </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b/>
          <w:i/>
          <w:color w:val="auto"/>
          <w:sz w:val="28"/>
          <w:szCs w:val="28"/>
          <w:highlight w:val="white"/>
        </w:rPr>
        <w:t>Громадянська відповідальність</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color w:val="auto"/>
          <w:sz w:val="28"/>
          <w:szCs w:val="28"/>
          <w:highlight w:val="white"/>
        </w:rPr>
        <w:t xml:space="preserve"> 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математику з іншими навчальними предметами і розвиває в учнів готовність до співпраці, толерантність щодо різноманітних способів діяльності і думок. </w:t>
      </w:r>
    </w:p>
    <w:p w14:paraId="73CC1FA3">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Навчання математики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З цієї ж наскрізною лінією пов'язані, наприклад, процентні обчислення, елементи статистики, що дозволяють учням зрозуміти значення кількісних показників при характеристиці суспільства і його розвитку.</w:t>
      </w:r>
    </w:p>
    <w:p w14:paraId="78E6A746">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color w:val="auto"/>
          <w:sz w:val="28"/>
          <w:szCs w:val="28"/>
          <w:highlight w:val="white"/>
        </w:rPr>
        <w:t xml:space="preserve">3. </w:t>
      </w:r>
      <w:r>
        <w:rPr>
          <w:rFonts w:ascii="Times New Roman" w:hAnsi="Times New Roman" w:eastAsia="Times New Roman" w:cs="Times New Roman"/>
          <w:color w:val="auto"/>
          <w:sz w:val="28"/>
          <w:szCs w:val="28"/>
          <w:highlight w:val="white"/>
        </w:rPr>
        <w:t xml:space="preserve">Завданням наскрізної лінії </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b/>
          <w:i/>
          <w:color w:val="auto"/>
          <w:sz w:val="28"/>
          <w:szCs w:val="28"/>
          <w:highlight w:val="white"/>
        </w:rPr>
        <w:t>Здоров'я і безпека</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color w:val="auto"/>
          <w:sz w:val="28"/>
          <w:szCs w:val="28"/>
          <w:highlight w:val="white"/>
        </w:rPr>
        <w:t xml:space="preserve">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43AC1A65">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Наскрізна лінія «Здоров'я і безпека» в курсі математики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відсотковими обчисленнями і графіками, що стосуються чинників ризику). Особливо важливий аналіз причин ДТП, пов’язаних із перевищенням швидкості. Варто звернути увагу на проблеми, пов’язані із ризиками для життя і здоров’я при вивченні основ математичної статистики. Вирішення проблем, знайдених з «ага-ефектом»</w:t>
      </w:r>
      <w:r>
        <w:rPr>
          <w:rFonts w:ascii="Times New Roman" w:hAnsi="Times New Roman" w:eastAsia="Times New Roman" w:cs="Times New Roman"/>
          <w:color w:val="auto"/>
          <w:sz w:val="28"/>
          <w:szCs w:val="28"/>
          <w:highlight w:val="white"/>
          <w:vertAlign w:val="superscript"/>
        </w:rPr>
        <w:t xml:space="preserve"> </w:t>
      </w:r>
      <w:r>
        <w:rPr>
          <w:rFonts w:ascii="Times New Roman" w:hAnsi="Times New Roman" w:eastAsia="Times New Roman" w:cs="Times New Roman"/>
          <w:color w:val="auto"/>
          <w:sz w:val="28"/>
          <w:szCs w:val="28"/>
          <w:highlight w:val="white"/>
          <w:vertAlign w:val="superscript"/>
        </w:rPr>
        <w:footnoteReference w:id="1"/>
      </w:r>
      <w:r>
        <w:rPr>
          <w:rFonts w:ascii="Times New Roman" w:hAnsi="Times New Roman" w:eastAsia="Times New Roman" w:cs="Times New Roman"/>
          <w:color w:val="auto"/>
          <w:sz w:val="28"/>
          <w:szCs w:val="28"/>
          <w:highlight w:val="white"/>
        </w:rPr>
        <w:t>, розгляд красивих геометричних конструкцій, пошук оптимальних методів розв’язування задач тощо, здатні викликати в учнів чимало радісних емоцій.</w:t>
      </w:r>
    </w:p>
    <w:p w14:paraId="3C7D792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color w:val="auto"/>
          <w:sz w:val="28"/>
          <w:szCs w:val="28"/>
          <w:highlight w:val="white"/>
        </w:rPr>
        <w:t>4.</w:t>
      </w:r>
      <w:r>
        <w:rPr>
          <w:rFonts w:ascii="Times New Roman" w:hAnsi="Times New Roman" w:eastAsia="Times New Roman" w:cs="Times New Roman"/>
          <w:color w:val="auto"/>
          <w:sz w:val="28"/>
          <w:szCs w:val="28"/>
          <w:highlight w:val="white"/>
        </w:rPr>
        <w:t xml:space="preserve"> Наскрізна лінія «</w:t>
      </w:r>
      <w:r>
        <w:rPr>
          <w:rFonts w:ascii="Times New Roman" w:hAnsi="Times New Roman" w:eastAsia="Times New Roman" w:cs="Times New Roman"/>
          <w:b/>
          <w:i/>
          <w:color w:val="auto"/>
          <w:sz w:val="28"/>
          <w:szCs w:val="28"/>
          <w:highlight w:val="white"/>
        </w:rPr>
        <w:t>Підприємливість і фінансова грамотність</w:t>
      </w: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color w:val="auto"/>
          <w:sz w:val="28"/>
          <w:szCs w:val="28"/>
          <w:highlight w:val="white"/>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49E56B7">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Ця наскрізна лінія пов'язана з розв'язуванням практичних задач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Вона реалізується під час вивчення відсоткових обчислень, рівнянь та функцій. </w:t>
      </w:r>
    </w:p>
    <w:p w14:paraId="39717A21">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математичного факту із практичної ситуації, а й ілюструвати його застосування на практиці. Формуванню математичної та ключових компетентностей сприяє встановлення та реалізація у навчанні математики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5167210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cs="Times New Roman"/>
          <w:color w:val="auto"/>
          <w:sz w:val="28"/>
          <w:szCs w:val="28"/>
        </w:rPr>
        <w:t>Важливу роль у навчанні математики відіграє систематичне використання історичного матеріалу, який підвищує інтерес до вивчення математики, стимулює потяг до наукової творчості, пробуджує критичне ставлення до фактів, дає учням уявлення про математику як невід’ємну складову загальнолюдської культури. На дохідливих прикладах слід показувати учням, як розвивалися математичні поняття і відношення, теорії й методи. Ознайомлення учнів з іменами та біографіями видатних учених, які створювали математику, зокрема видатних українських математиків, сприятиме національному і патріотичному вихованню школярів.</w:t>
      </w:r>
    </w:p>
    <w:p w14:paraId="7C6BBA20">
      <w:pPr>
        <w:spacing w:line="240" w:lineRule="auto"/>
        <w:ind w:firstLine="851"/>
        <w:jc w:val="both"/>
        <w:rPr>
          <w:rFonts w:ascii="Times New Roman" w:hAnsi="Times New Roman" w:eastAsia="Times New Roman" w:cs="Times New Roman"/>
          <w:b/>
          <w:color w:val="auto"/>
          <w:sz w:val="28"/>
          <w:szCs w:val="28"/>
          <w:highlight w:val="white"/>
        </w:rPr>
      </w:pPr>
    </w:p>
    <w:p w14:paraId="4BD045A0">
      <w:pPr>
        <w:spacing w:line="240" w:lineRule="auto"/>
        <w:ind w:firstLine="851"/>
        <w:jc w:val="both"/>
        <w:rPr>
          <w:rFonts w:ascii="Times New Roman" w:hAnsi="Times New Roman" w:eastAsia="Times New Roman" w:cs="Times New Roman"/>
          <w:i/>
          <w:color w:val="auto"/>
          <w:sz w:val="28"/>
          <w:szCs w:val="28"/>
          <w:highlight w:val="white"/>
        </w:rPr>
      </w:pPr>
      <w:r>
        <w:rPr>
          <w:rFonts w:ascii="Times New Roman" w:hAnsi="Times New Roman" w:eastAsia="Times New Roman" w:cs="Times New Roman"/>
          <w:b/>
          <w:color w:val="auto"/>
          <w:sz w:val="28"/>
          <w:szCs w:val="28"/>
          <w:highlight w:val="white"/>
        </w:rPr>
        <w:t>Характеристика навчального змісту і особливостей його реалізації</w:t>
      </w:r>
    </w:p>
    <w:p w14:paraId="100BE977">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Зміст математичної освіти в основній школі структурується за такими змістовими лініями: </w:t>
      </w:r>
      <w:r>
        <w:rPr>
          <w:rFonts w:ascii="Times New Roman" w:hAnsi="Times New Roman" w:eastAsia="Times New Roman" w:cs="Times New Roman"/>
          <w:i/>
          <w:color w:val="auto"/>
          <w:sz w:val="28"/>
          <w:szCs w:val="28"/>
          <w:highlight w:val="white"/>
        </w:rPr>
        <w:t>числа; вирази; рівняння і нерівності; функції; геометричні фігури; геометричні величини.</w:t>
      </w:r>
      <w:r>
        <w:rPr>
          <w:rFonts w:ascii="Times New Roman" w:hAnsi="Times New Roman" w:eastAsia="Times New Roman" w:cs="Times New Roman"/>
          <w:color w:val="auto"/>
          <w:sz w:val="28"/>
          <w:szCs w:val="28"/>
          <w:highlight w:val="white"/>
        </w:rPr>
        <w:t xml:space="preserve"> Кожна з них розвивається з урахуванням завдань вивчення математики на цьому ступені шкільної освіти, в якому виокремлюються два основні етапи: 5–6 класи і 7–9 класи. Освітні завдання на першому етапі реалізуються у процесі вивчення єдиного курсу математики, на другому — двох курсів: алгебри і геометрії.</w:t>
      </w:r>
    </w:p>
    <w:p w14:paraId="340821A5">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b/>
          <w:i/>
          <w:color w:val="auto"/>
          <w:sz w:val="28"/>
          <w:szCs w:val="28"/>
          <w:highlight w:val="white"/>
        </w:rPr>
        <w:t>Курс математики 5</w:t>
      </w:r>
      <w:r>
        <w:rPr>
          <w:rFonts w:ascii="Times New Roman" w:hAnsi="Times New Roman" w:eastAsia="Times New Roman" w:cs="Times New Roman"/>
          <w:color w:val="auto"/>
          <w:sz w:val="28"/>
          <w:szCs w:val="28"/>
          <w:highlight w:val="white"/>
        </w:rPr>
        <w:t>–</w:t>
      </w:r>
      <w:r>
        <w:rPr>
          <w:rFonts w:ascii="Times New Roman" w:hAnsi="Times New Roman" w:eastAsia="Times New Roman" w:cs="Times New Roman"/>
          <w:b/>
          <w:i/>
          <w:color w:val="auto"/>
          <w:sz w:val="28"/>
          <w:szCs w:val="28"/>
          <w:highlight w:val="white"/>
        </w:rPr>
        <w:t>6 класів</w:t>
      </w:r>
      <w:r>
        <w:rPr>
          <w:rFonts w:ascii="Times New Roman" w:hAnsi="Times New Roman" w:eastAsia="Times New Roman" w:cs="Times New Roman"/>
          <w:color w:val="auto"/>
          <w:sz w:val="28"/>
          <w:szCs w:val="28"/>
          <w:highlight w:val="white"/>
        </w:rPr>
        <w:t xml:space="preserve"> передбачає розвиток, збагачення і поглиблення знань учнів про числа і дії над ними, числові й буквені вирази, величини та їх вимірювання, рівняння, числові нерівності, а також уявлень про окремі геометричні фігури на площині і в просторі. Понятійний апарат, обчислювальні алгоритми, графічні уміння і навички, що мають бути сформовані на цьому етапі вивчення курсу, є тим підґрунтям, що забезпечує успішне вивчення в наступних класах алгебри і геометрії, а також інших навчальних предметів, де застосовуються математичні знання.</w:t>
      </w:r>
    </w:p>
    <w:p w14:paraId="36FF7F40">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Основу курсу становить розвиток поняття числа та формування міцних обчислювальних і графічних навичок. У 5–6 класах відбувається поступове розширення множини натуральних чисел до множини раціональних чисел шляхом послідовного введення дробів (звичайних і десяткових), а також від’ємних чисел разом із формуванням культури усних, письмових, інструментальних обчислень.</w:t>
      </w:r>
    </w:p>
    <w:p w14:paraId="02C17898">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Навчальний матеріал, що стосується виразів, величин, рівнянь і нерівностей, геометричних фігур, має загалом пропедевтичний характер. Ознайомлення з ним готує учнів до свідомого системного вивчення відповідних тем у курсах алгебри і геометрії. Зокрема, учні мають дістати уявлення про використання букв для запису законів арифметичних дій, формул, навчитись обчислювати значення простих буквених виразів, складати за умовою задачі й розв’язувати нескладні рівняння першого степеня спочатку на основі залежностей між компонентами арифметичних дій, а згодом із використанням основних властивостей рівнянь. Важливе значення для підготовки учнів до систематичного вивчення алгебри, геометрії та інших предметів мають початкові відомості про метод координат, які дістають учні 5–6 класів: зображення чисел на координатній прямій, прямокутна система координат на площині, виконання відповідних побудов, побудова і аналіз окремих графіків залежностей між величинами.</w:t>
      </w:r>
    </w:p>
    <w:p w14:paraId="533C177D">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Істотне місце у вивченні курсу займають текстові задачі, основними функціями яких є розвиток логічного мислення учнів та ілюстрація практичного застосування математичних знань. Під час розв’язування текстових задач учні також вчаться використовувати математичні моделі. Розв’язування таких задач супроводжує вивчення всіх тем, передбачених програмою.</w:t>
      </w:r>
    </w:p>
    <w:p w14:paraId="435E0010">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Зміст геометричного матеріалу включає початкові відомості про планіметричні (відрізок, промінь, пряма, кут, трикутник, прямокутник, квадрат, коло, круг) і стереометричні (прямокутний паралелепіпед, куб, піраміда) фігури. Учні набувають навичок вимірювання довжини відрізка й градусної міри кута, знаходження площ і об’ємів деяких фігур, побудови геометричних фігур за допомогою лінійки, косинця, транспортира і циркуля. Розширюються уявлення учнів про вимірювання геометричних величин на прикладах вимірювання і порівняння відрізків і кутів, побудови відрізків даної довжини і кутів із заданою градусною мірою, оперування формулами периметрів, площ і об’ємів геометричних фігур — знаходження невідомого компонента формули за відомими. Побудова кута за допомогою транспортира або косинця (прямого кута), прямої та відрізка за допомогою лінійки використовується при побудові трикутників, прямокутників, перпендикулярних і паралельних прямих.</w:t>
      </w:r>
    </w:p>
    <w:p w14:paraId="083534A4">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Вивчення геометричних фігур має передбачати використання наочних ілюстрацій, прикладів із довкілля, життєвого досвіду учнів, виконання побудов і сприяти виробленню вмінь виділяти форму і розміри як основні властивості геометричних фігур. Закріплення понять супроводжується їх класифікацією (кутів, трикутників, взаємного розміщення прямих на площині). Властивості геометричних фігур спочатку обґрунтовуються дослідно-індуктивно, потім застосовуються в конкретних ситуаціях, що сприяє виробленню в учнів умінь доказово міркувати.</w:t>
      </w:r>
    </w:p>
    <w:p w14:paraId="7C312E59">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Основа інтеграції геометричного матеріалу з арифметичним і алгебраїчним — числові характеристики (довжина, площа, об’єм) геометричних фігур. Узагальнюються знання учнів про одиниці вимірювання довжини, площі, об’єму і вміння переходити від одних одиниць до інших, оскільки ці знання і вміння використовуються у вивченні предметів природничого циклу і в трудовому навчанні.</w:t>
      </w:r>
    </w:p>
    <w:p w14:paraId="05CC0412">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Важливим є формування в учнів умінь подавати дані у вигляді таблиць, графіків і діаграм різних типів та на основі їхнього аналізу робити відповідні висновки.</w:t>
      </w:r>
    </w:p>
    <w:p w14:paraId="7EC4E434">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Вивчення математики у 5–6 класах здійснюється з переважанням індуктивних міркувань в основному на наочно-інтуїтивному рівні із залученням практичного досвіду учнів і прикладів із довкілля. Відбувається поступове збільшення теоретичного матеріалу, який вимагає обґрунтування тверджень, що вивчаються. Це готує учнів до ширшого використання дедуктивних методів на наступному етапі вивчення математики.</w:t>
      </w:r>
    </w:p>
    <w:p w14:paraId="62738B89">
      <w:pPr>
        <w:spacing w:line="240" w:lineRule="auto"/>
        <w:ind w:firstLine="851"/>
        <w:jc w:val="both"/>
        <w:rPr>
          <w:rFonts w:ascii="Times New Roman" w:hAnsi="Times New Roman" w:eastAsia="Times New Roman" w:cs="Times New Roman"/>
          <w:b/>
          <w:i/>
          <w:color w:val="auto"/>
          <w:sz w:val="28"/>
          <w:szCs w:val="28"/>
          <w:highlight w:val="white"/>
        </w:rPr>
      </w:pPr>
      <w:r>
        <w:rPr>
          <w:rFonts w:ascii="Times New Roman" w:hAnsi="Times New Roman" w:eastAsia="Times New Roman" w:cs="Times New Roman"/>
          <w:b/>
          <w:i/>
          <w:color w:val="auto"/>
          <w:sz w:val="28"/>
          <w:szCs w:val="28"/>
          <w:highlight w:val="white"/>
        </w:rPr>
        <w:t>У 7–9 класах вивчаються два курси: алгебра і геометрія.</w:t>
      </w:r>
    </w:p>
    <w:p w14:paraId="05BCEF4C">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Основними завданнями</w:t>
      </w:r>
      <w:r>
        <w:rPr>
          <w:rFonts w:ascii="Times New Roman" w:hAnsi="Times New Roman" w:eastAsia="Times New Roman" w:cs="Times New Roman"/>
          <w:i/>
          <w:color w:val="auto"/>
          <w:sz w:val="28"/>
          <w:szCs w:val="28"/>
          <w:highlight w:val="white"/>
        </w:rPr>
        <w:t xml:space="preserve"> </w:t>
      </w:r>
      <w:r>
        <w:rPr>
          <w:rFonts w:ascii="Times New Roman" w:hAnsi="Times New Roman" w:eastAsia="Times New Roman" w:cs="Times New Roman"/>
          <w:b/>
          <w:i/>
          <w:color w:val="auto"/>
          <w:sz w:val="28"/>
          <w:szCs w:val="28"/>
          <w:highlight w:val="white"/>
        </w:rPr>
        <w:t>курсу алгебри</w:t>
      </w:r>
      <w:r>
        <w:rPr>
          <w:rFonts w:ascii="Times New Roman" w:hAnsi="Times New Roman" w:eastAsia="Times New Roman" w:cs="Times New Roman"/>
          <w:color w:val="auto"/>
          <w:sz w:val="28"/>
          <w:szCs w:val="28"/>
          <w:highlight w:val="white"/>
        </w:rPr>
        <w:t xml:space="preserve"> є формування умінь виконання тотожних перетворень цілих і дробових виразів, розв’язування рівнянь і нерівностей та їх систем, достатніх для свідомого їх використання у вивченні математики і суміжних предметів, а також для практичних застосувань. Важливе завдання полягає в залученні учнів до використання рівнянь і функцій як засобів математичного моделювання реальних процесів і явищ, розв’язування на цій основі прикладних задач. У процесі вивчення курсу посилюється роль обґрунтувань математичних тверджень, індуктивних і дедуктивних міркувань, формування різноманітних алгоритмів, що має сприяти розвитку логічного мислення і алгоритмічної культури школярів.</w:t>
      </w:r>
    </w:p>
    <w:p w14:paraId="3C34F8FF">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На цьому етапі шкільної математичної освіти учні починають ознайомлюватися з дійсними числами. Так, до відомих учням числових множин долучається множина ірраціональних чисел.</w:t>
      </w:r>
    </w:p>
    <w:p w14:paraId="574125ED">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Основу курсу становлять перетворення раціональних та ірраціональних виразів. Важливо забезпечити формування умінь школярів виконувати основні види перетворень таких виразів, що є передумовою подальшого успішного засвоєння курсу та використання математичного апарату під час вивчення інших шкільних предметів. Розглядається поняття степеня з цілим показником та його властивості.</w:t>
      </w:r>
    </w:p>
    <w:p w14:paraId="7958E663">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Істотного розвитку набуває змістова лінія рівнянь та нерівностей. Процес розв’язування рівняння трактується як послідовна заміна даного рівняння рівносильними йому рівняннями. На основі узагальнення відомостей про рівняння, здобутих у попередні роки, вводиться поняття лінійного рівняння з однією змінною. Курс передбачає вивчення лінійних рівнянь, квадратних рівнянь та рівнянь, які зводяться до лінійних або квадратних. Розглядаються системи лінійних рівнянь та рівнянь другого степеня з двома змінними. Щодо останніх, то увага зосереджується на системах, де одне рівняння – другого степеня, а друге –першого степеня. Передбачається розгляд лише найпростіших систем рівнянь, у яких обидва рівняння другого степеня.</w:t>
      </w:r>
    </w:p>
    <w:p w14:paraId="628B5661">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Значне місце відводиться застосуванню рівнянь до розв’язування різноманітних задач. Ця робота має пронизувати всі теми курсу. Важливе значення надається формуванню умінь застосовувати алгоритм розв’язування задачі за допомогою рівняння.</w:t>
      </w:r>
    </w:p>
    <w:p w14:paraId="167DAF2B">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Елементарні відомості про числові нерівності доповнюються і розширюються за рахунок вивчення властивостей числових нерівностей, лінійних нерівностей з однією змінною та квадратних нерівностей. Розглядається розв’язування систем двох лінійних нерівностей з однією змінною.</w:t>
      </w:r>
    </w:p>
    <w:p w14:paraId="6EB5B59F">
      <w:pPr>
        <w:spacing w:line="240" w:lineRule="auto"/>
        <w:ind w:firstLine="851"/>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highlight w:val="white"/>
        </w:rPr>
        <w:t>У 7 класі вводиться одне з фундаментальних математичних понять — поняття функції. У цьому ж класі розглядається лінійна функція та її графік. Ці відомості використовуються для графічного ілюстрування розв’язування лінійного рівняння з однією змінною, а також системи двох лінійних рівнянь з двома змінними. Інші види функцій розглядаються у зв’язку з вивченням відповідного матеріалу, що стосується решти змістових ліній курсу. Зокрема у 8 класі в темах «Раціональні вирази» та «Квадратні корені» учні ознайомлюються з функціями</w:t>
      </w:r>
      <w:r>
        <w:rPr>
          <w:rFonts w:ascii="Times New Roman" w:hAnsi="Times New Roman" w:eastAsia="Times New Roman" w:cs="Times New Roman"/>
          <w:color w:val="auto"/>
          <w:sz w:val="28"/>
          <w:szCs w:val="28"/>
          <w:lang w:val="ru-RU"/>
        </w:rPr>
        <w:t xml:space="preserve"> </w:t>
      </w:r>
      <w:r>
        <w:rPr>
          <w:rFonts w:ascii="Times New Roman" w:hAnsi="Times New Roman" w:cs="Times New Roman"/>
          <w:i/>
          <w:color w:val="auto"/>
          <w:position w:val="-18"/>
          <w:sz w:val="28"/>
          <w:szCs w:val="28"/>
        </w:rPr>
        <w:object>
          <v:shape id="_x0000_i1025" o:spt="75" type="#_x0000_t75" style="height:22pt;width:26pt;" o:ole="t" fillcolor="#FFFFFF"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у</w:t>
      </w:r>
      <w:r>
        <w:rPr>
          <w:rFonts w:ascii="Times New Roman" w:hAnsi="Times New Roman" w:cs="Times New Roman"/>
          <w:color w:val="auto"/>
          <w:sz w:val="28"/>
          <w:szCs w:val="28"/>
        </w:rPr>
        <w:t xml:space="preserve"> = </w:t>
      </w:r>
      <w:r>
        <w:rPr>
          <w:rFonts w:ascii="Times New Roman" w:hAnsi="Times New Roman" w:cs="Times New Roman"/>
          <w:i/>
          <w:color w:val="auto"/>
          <w:sz w:val="28"/>
          <w:szCs w:val="28"/>
        </w:rPr>
        <w:t>x</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 xml:space="preserve"> і</w:t>
      </w:r>
      <w:r>
        <w:rPr>
          <w:rFonts w:ascii="Times New Roman" w:hAnsi="Times New Roman" w:cs="Times New Roman"/>
          <w:i/>
          <w:color w:val="auto"/>
          <w:sz w:val="28"/>
          <w:szCs w:val="28"/>
        </w:rPr>
        <w:t xml:space="preserve"> </w:t>
      </w:r>
      <w:r>
        <w:rPr>
          <w:rFonts w:ascii="Times New Roman" w:hAnsi="Times New Roman" w:cs="Times New Roman"/>
          <w:i/>
          <w:color w:val="auto"/>
          <w:position w:val="-8"/>
          <w:sz w:val="28"/>
          <w:szCs w:val="28"/>
        </w:rPr>
        <w:object>
          <v:shape id="_x0000_i1026" o:spt="75" type="#_x0000_t75" style="height:17pt;width:34pt;" o:ole="t" fillcolor="#FFFFFF"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eastAsia="Times New Roman" w:cs="Times New Roman"/>
          <w:color w:val="auto"/>
          <w:sz w:val="28"/>
          <w:szCs w:val="28"/>
          <w:highlight w:val="white"/>
        </w:rPr>
        <w:t xml:space="preserve"> та їх властивостями. У 9 класі розглядається квадратична функція. Вивчення її властивостей пов’язується, зокрема, з розв’язуванням квадратних нерівностей.</w:t>
      </w:r>
    </w:p>
    <w:p w14:paraId="4C058D05">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Таким чином, функціональна лінія пронизує весь курс алгебри основної школи і розвивається в тісному зв’язку з тотожними перетвореннями, рівняннями і нерівностями. Властивості функцій, як правило, встановлюються за їх графіками, тобто на основі наочних уявлень, і лише деякі властивості обґрунтовуються аналітично. У міру оволодіння учнями теоретичним матеріалом кількість властивостей, що підлягають вивченню, поступово збільшується. Під час вивчення функцій чільне місце відводиться формуванню умінь будувати й аналізувати графіки функцій, характеризувати за графіками функцій процеси, які вони описують, спроможності розуміти функцію як певну математичну модель реального процесу. </w:t>
      </w:r>
    </w:p>
    <w:p w14:paraId="0BFFE730">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Дев'ятикласники також ознайомляться з основними поняттями комбінаторики, теорії ймовірностей та статистики.</w:t>
      </w:r>
    </w:p>
    <w:p w14:paraId="7354E544">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Головна лінія</w:t>
      </w:r>
      <w:r>
        <w:rPr>
          <w:rFonts w:ascii="Times New Roman" w:hAnsi="Times New Roman" w:eastAsia="Times New Roman" w:cs="Times New Roman"/>
          <w:i/>
          <w:color w:val="auto"/>
          <w:sz w:val="28"/>
          <w:szCs w:val="28"/>
          <w:highlight w:val="white"/>
        </w:rPr>
        <w:t xml:space="preserve"> </w:t>
      </w:r>
      <w:r>
        <w:rPr>
          <w:rFonts w:ascii="Times New Roman" w:hAnsi="Times New Roman" w:eastAsia="Times New Roman" w:cs="Times New Roman"/>
          <w:b/>
          <w:i/>
          <w:color w:val="auto"/>
          <w:sz w:val="28"/>
          <w:szCs w:val="28"/>
          <w:highlight w:val="white"/>
        </w:rPr>
        <w:t>курсу геометрії</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b/>
          <w:i/>
          <w:color w:val="auto"/>
          <w:sz w:val="28"/>
          <w:szCs w:val="28"/>
          <w:highlight w:val="white"/>
        </w:rPr>
        <w:t>—</w:t>
      </w:r>
      <w:r>
        <w:rPr>
          <w:rFonts w:ascii="Times New Roman" w:hAnsi="Times New Roman" w:eastAsia="Times New Roman" w:cs="Times New Roman"/>
          <w:color w:val="auto"/>
          <w:sz w:val="28"/>
          <w:szCs w:val="28"/>
          <w:highlight w:val="white"/>
        </w:rPr>
        <w:t xml:space="preserve"> геометричні фігури та їх властивості. Основними поняттями курсу є: точка, пряма, площина, належати, лежати між. Перші три поняття – це основні геометричні фігури, а два останніх – основні відношення. Це неозначувані поняття – для них не формулюються означення, але їх зміст розкривається через опис, показ, характеристику. Інші поняття курсу визначаються, а їх властивості встановлюються шляхом доказових міркувань. Учень має усвідомити, що під час доведення теорем можна користуватися означеннями і раніше доведеними теоремами.</w:t>
      </w:r>
    </w:p>
    <w:p w14:paraId="1AEC50D3">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Фігури, що вивчаються на площині — точка, пряма, відрізок, промінь, кут, трикутник, чотирикутник, многокутник, коло, круг. Учень повинен формулювати означення планіметричних фігур та їх елементів, зображати їх на малюнку, класифікувати кути, трикутники, чотирикутники, правильні многокутники.</w:t>
      </w:r>
    </w:p>
    <w:p w14:paraId="76E57083">
      <w:pPr>
        <w:spacing w:line="240" w:lineRule="auto"/>
        <w:ind w:firstLine="851"/>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У 7 класі учні ознайомлюються з основами геометричної науки –означеннями, теоремами, основними методами доведення теорем, основними задачами на побудову. Поглиблюються і систематизуються відомості про геометричні величини: довжину і градусну міру кута.</w:t>
      </w:r>
    </w:p>
    <w:p w14:paraId="5B1A44D4">
      <w:pPr>
        <w:pStyle w:val="11"/>
        <w:tabs>
          <w:tab w:val="left" w:pos="708"/>
          <w:tab w:val="clear" w:pos="454"/>
        </w:tabs>
        <w:spacing w:line="240" w:lineRule="auto"/>
        <w:ind w:firstLine="720"/>
        <w:rPr>
          <w:sz w:val="28"/>
          <w:szCs w:val="28"/>
          <w:lang w:val="uk-UA"/>
        </w:rPr>
      </w:pPr>
      <w:r>
        <w:rPr>
          <w:sz w:val="28"/>
          <w:szCs w:val="28"/>
          <w:lang w:val="uk-UA"/>
        </w:rPr>
        <w:t>Однією з основних задач, що вивчається в курсі геометрії, є розв’язування трикутників. У 8 класі розглядається задача розв’язування прямокутного трикутника. Для цього вводиться поняття косинуса, синуса, тангенса гострого кута прямокутного трикутника, доводиться теорема Піфагора. Дана тема продовжується в 9 класі — розв’язуються довільні трикутники. Це потребує введення формул для знаходження синуса і косинуса тупого кута та доведення теорем косинусів і синусів.</w:t>
      </w:r>
    </w:p>
    <w:p w14:paraId="19CF60F2">
      <w:pPr>
        <w:pStyle w:val="11"/>
        <w:tabs>
          <w:tab w:val="left" w:pos="708"/>
          <w:tab w:val="clear" w:pos="454"/>
        </w:tabs>
        <w:spacing w:line="240" w:lineRule="auto"/>
        <w:ind w:firstLine="720"/>
        <w:rPr>
          <w:sz w:val="28"/>
          <w:szCs w:val="28"/>
          <w:lang w:val="uk-UA"/>
        </w:rPr>
      </w:pPr>
      <w:r>
        <w:rPr>
          <w:kern w:val="20"/>
          <w:sz w:val="28"/>
          <w:szCs w:val="28"/>
          <w:lang w:val="uk-UA"/>
        </w:rPr>
        <w:t xml:space="preserve">Поглиблюються і систематизуються відомості про геометричні </w:t>
      </w:r>
      <w:r>
        <w:rPr>
          <w:sz w:val="28"/>
          <w:szCs w:val="28"/>
          <w:lang w:val="uk-UA"/>
        </w:rPr>
        <w:t>величини: довжину, градусну міру кута, площу.</w:t>
      </w:r>
      <w:r>
        <w:rPr>
          <w:kern w:val="20"/>
          <w:sz w:val="28"/>
          <w:szCs w:val="28"/>
          <w:lang w:val="uk-UA"/>
        </w:rPr>
        <w:t xml:space="preserve"> У 8 класі </w:t>
      </w:r>
      <w:r>
        <w:rPr>
          <w:sz w:val="28"/>
          <w:szCs w:val="28"/>
          <w:lang w:val="uk-UA"/>
        </w:rPr>
        <w:t xml:space="preserve">вводиться одне з найскладніших понять шкільного курсу — поняття площі. </w:t>
      </w:r>
      <w:r>
        <w:rPr>
          <w:kern w:val="20"/>
          <w:sz w:val="28"/>
          <w:szCs w:val="28"/>
          <w:lang w:val="uk-UA"/>
        </w:rPr>
        <w:t xml:space="preserve">Виведення формул для обчислення площ планіметричних фігур (прямокутника, паралелограма, трикутника, ромба, трапеції) спирається на основні властивості площ. </w:t>
      </w:r>
      <w:r>
        <w:rPr>
          <w:sz w:val="28"/>
          <w:szCs w:val="28"/>
          <w:lang w:val="uk-UA"/>
        </w:rPr>
        <w:t xml:space="preserve">Вивчення формул площ фігур дає можливість розв’язувати низку прикладних задач. </w:t>
      </w:r>
    </w:p>
    <w:p w14:paraId="43C6D4EB">
      <w:pPr>
        <w:pStyle w:val="11"/>
        <w:tabs>
          <w:tab w:val="left" w:pos="708"/>
          <w:tab w:val="clear" w:pos="454"/>
        </w:tabs>
        <w:spacing w:line="240" w:lineRule="auto"/>
        <w:ind w:firstLine="720"/>
        <w:rPr>
          <w:sz w:val="28"/>
          <w:szCs w:val="28"/>
          <w:lang w:val="uk-UA"/>
        </w:rPr>
      </w:pPr>
      <w:r>
        <w:rPr>
          <w:sz w:val="28"/>
          <w:szCs w:val="28"/>
          <w:lang w:val="uk-UA"/>
        </w:rPr>
        <w:t>У 9 класі розширюються уявлення учнів про аналітичне задання геометричних фігур, зокрема подається рівняння прямої, кола, виводяться формули довжини відрізка, координат середини відрізка, формується поняття про метод координат, який застосовується до доведення теорем та розв’язування задач.</w:t>
      </w:r>
    </w:p>
    <w:p w14:paraId="3DE30D45">
      <w:pPr>
        <w:pStyle w:val="11"/>
        <w:tabs>
          <w:tab w:val="left" w:pos="708"/>
          <w:tab w:val="clear" w:pos="454"/>
        </w:tabs>
        <w:spacing w:line="240" w:lineRule="auto"/>
        <w:ind w:firstLine="720"/>
        <w:rPr>
          <w:sz w:val="28"/>
          <w:szCs w:val="28"/>
          <w:lang w:val="uk-UA"/>
        </w:rPr>
      </w:pPr>
      <w:r>
        <w:rPr>
          <w:sz w:val="28"/>
          <w:szCs w:val="28"/>
          <w:lang w:val="uk-UA"/>
        </w:rPr>
        <w:t xml:space="preserve">До відомих учням скалярних величин долучаються векторні величини. Розглядаються рівні, протилежні, колінеарні вектори. </w:t>
      </w:r>
    </w:p>
    <w:p w14:paraId="4A80D7FF">
      <w:pPr>
        <w:spacing w:line="240" w:lineRule="auto"/>
        <w:ind w:firstLine="851"/>
        <w:jc w:val="both"/>
        <w:rPr>
          <w:rFonts w:ascii="Times New Roman" w:hAnsi="Times New Roman" w:eastAsia="Times New Roman" w:cs="Times New Roman"/>
          <w:i/>
          <w:color w:val="auto"/>
          <w:sz w:val="28"/>
          <w:szCs w:val="28"/>
          <w:highlight w:val="white"/>
        </w:rPr>
      </w:pPr>
      <w:r>
        <w:rPr>
          <w:rFonts w:ascii="Times New Roman" w:hAnsi="Times New Roman" w:eastAsia="Times New Roman" w:cs="Times New Roman"/>
          <w:i/>
          <w:color w:val="auto"/>
          <w:sz w:val="28"/>
          <w:szCs w:val="28"/>
          <w:highlight w:val="white"/>
        </w:rPr>
        <w:t>Структура програми</w:t>
      </w:r>
    </w:p>
    <w:p w14:paraId="4BEB39DD">
      <w:pPr>
        <w:spacing w:line="240" w:lineRule="auto"/>
        <w:ind w:firstLine="851"/>
        <w:jc w:val="both"/>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8"/>
          <w:szCs w:val="28"/>
          <w:highlight w:val="white"/>
        </w:rPr>
        <w:t xml:space="preserve">Програму представлено в табличній формі, що містить дві частини: очікувані результати навчально-пізнавальної діяльності учнів та зміст навчального матеріалу, необхідний для їх досягнення. У правій частині вказано навчальний матеріал, який підлягає вивченню у відповідному класі. Очікувані результати навчально-пізнавальної діяльності учнів орієнтують на результати навчання, які є об’єктом контролю й оцінювання. Окрім того в кінці кожного класу наведено перелік прикладних задач, що можуть виконуватись учнями під час навчання. Дані задачі пов’язані як із імплементацією наскрізних ліній ключових компетентностей, так і з практичною спрямованістю навчального матеріалу. Перелік задач не є обов'язковим для виконання (вчитель може обирати ті задачі, які краще підійдуть даному класу та конкретним учням) та не є повним (вчитель може пропонувати учням будь-які інші практичні задачі на власний розсуд). Зміст навчального матеріалу структуровано за темами відповідних навчальних курсів із визначенням мінімальної кількості годин на їх вивчення. На початку кожного класу вказано значну кількість резервних годин, які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 </w:t>
      </w:r>
    </w:p>
    <w:p w14:paraId="1A17A02A">
      <w:pPr>
        <w:spacing w:line="240" w:lineRule="auto"/>
        <w:jc w:val="center"/>
        <w:rPr>
          <w:rFonts w:ascii="Times New Roman" w:hAnsi="Times New Roman" w:eastAsia="Times New Roman" w:cs="Times New Roman"/>
          <w:b/>
          <w:color w:val="auto"/>
          <w:sz w:val="28"/>
          <w:szCs w:val="28"/>
          <w:highlight w:val="white"/>
        </w:rPr>
      </w:pPr>
    </w:p>
    <w:p w14:paraId="17682CAC">
      <w:pPr>
        <w:spacing w:line="240" w:lineRule="auto"/>
        <w:jc w:val="center"/>
        <w:rPr>
          <w:rFonts w:ascii="Times New Roman" w:hAnsi="Times New Roman" w:eastAsia="Times New Roman" w:cs="Times New Roman"/>
          <w:b/>
          <w:color w:val="auto"/>
          <w:sz w:val="28"/>
          <w:szCs w:val="28"/>
          <w:highlight w:val="white"/>
        </w:rPr>
      </w:pPr>
    </w:p>
    <w:p w14:paraId="12868BEB">
      <w:pPr>
        <w:spacing w:line="240" w:lineRule="auto"/>
        <w:jc w:val="center"/>
        <w:rPr>
          <w:rFonts w:ascii="Times New Roman" w:hAnsi="Times New Roman" w:eastAsia="Times New Roman" w:cs="Times New Roman"/>
          <w:b/>
          <w:color w:val="auto"/>
          <w:sz w:val="28"/>
          <w:szCs w:val="28"/>
          <w:highlight w:val="white"/>
        </w:rPr>
      </w:pPr>
    </w:p>
    <w:p w14:paraId="45153AB2">
      <w:pPr>
        <w:spacing w:line="240" w:lineRule="auto"/>
        <w:jc w:val="center"/>
        <w:rPr>
          <w:rFonts w:ascii="Times New Roman" w:hAnsi="Times New Roman" w:eastAsia="Times New Roman" w:cs="Times New Roman"/>
          <w:b/>
          <w:color w:val="auto"/>
          <w:sz w:val="28"/>
          <w:szCs w:val="28"/>
          <w:highlight w:val="white"/>
        </w:rPr>
      </w:pPr>
    </w:p>
    <w:p w14:paraId="5A799607">
      <w:pPr>
        <w:spacing w:line="240" w:lineRule="auto"/>
        <w:jc w:val="center"/>
        <w:rPr>
          <w:rFonts w:ascii="Times New Roman" w:hAnsi="Times New Roman" w:eastAsia="Times New Roman" w:cs="Times New Roman"/>
          <w:b/>
          <w:color w:val="auto"/>
          <w:sz w:val="28"/>
          <w:szCs w:val="28"/>
          <w:highlight w:val="white"/>
        </w:rPr>
      </w:pPr>
    </w:p>
    <w:p w14:paraId="057D82CF">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9 клас</w:t>
      </w:r>
    </w:p>
    <w:p w14:paraId="3B0FE0C5">
      <w:pPr>
        <w:spacing w:line="240" w:lineRule="auto"/>
        <w:jc w:val="center"/>
        <w:rPr>
          <w:rFonts w:ascii="Times New Roman" w:hAnsi="Times New Roman" w:eastAsia="Times New Roman" w:cs="Times New Roman"/>
          <w:b/>
          <w:color w:val="auto"/>
          <w:sz w:val="28"/>
          <w:szCs w:val="28"/>
          <w:highlight w:val="white"/>
        </w:rPr>
      </w:pPr>
    </w:p>
    <w:p w14:paraId="6B2EA76D">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АЛГЕБРА</w:t>
      </w:r>
    </w:p>
    <w:p w14:paraId="77D9F3D6">
      <w:pPr>
        <w:spacing w:line="240" w:lineRule="auto"/>
        <w:jc w:val="center"/>
        <w:rPr>
          <w:rFonts w:ascii="Times New Roman" w:hAnsi="Times New Roman" w:eastAsia="Times New Roman" w:cs="Times New Roman"/>
          <w:b/>
          <w:color w:val="auto"/>
          <w:sz w:val="28"/>
          <w:szCs w:val="28"/>
          <w:highlight w:val="white"/>
        </w:rPr>
      </w:pPr>
    </w:p>
    <w:p w14:paraId="7F6C40AA">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b/>
          <w:i/>
          <w:color w:val="auto"/>
          <w:sz w:val="28"/>
          <w:szCs w:val="28"/>
          <w:highlight w:val="white"/>
        </w:rPr>
        <w:t>70 год, 2 год на тиждень, резерв — 18 год</w:t>
      </w:r>
      <w:r>
        <w:rPr>
          <w:rFonts w:ascii="Times New Roman" w:hAnsi="Times New Roman" w:eastAsia="Times New Roman" w:cs="Times New Roman"/>
          <w:b/>
          <w:color w:val="auto"/>
          <w:sz w:val="28"/>
          <w:szCs w:val="28"/>
          <w:highlight w:val="white"/>
        </w:rPr>
        <w:t>)</w:t>
      </w:r>
    </w:p>
    <w:p w14:paraId="76F9B78F">
      <w:pPr>
        <w:spacing w:line="240" w:lineRule="auto"/>
        <w:jc w:val="center"/>
        <w:rPr>
          <w:rFonts w:ascii="Times New Roman" w:hAnsi="Times New Roman" w:eastAsia="Times New Roman" w:cs="Times New Roman"/>
          <w:b/>
          <w:color w:val="auto"/>
          <w:sz w:val="28"/>
          <w:szCs w:val="28"/>
          <w:highlight w:val="white"/>
        </w:rPr>
      </w:pPr>
    </w:p>
    <w:tbl>
      <w:tblPr>
        <w:tblStyle w:val="9"/>
        <w:tblW w:w="9639"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05"/>
        <w:gridCol w:w="4734"/>
      </w:tblGrid>
      <w:tr w14:paraId="14D7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5" w:type="dxa"/>
            <w:tcBorders>
              <w:top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6503E840">
            <w:pPr>
              <w:spacing w:line="240" w:lineRule="auto"/>
              <w:ind w:left="60" w:right="60"/>
              <w:jc w:val="center"/>
              <w:rPr>
                <w:rFonts w:ascii="Times New Roman" w:hAnsi="Times New Roman" w:cs="Times New Roman"/>
                <w:b/>
                <w:color w:val="auto"/>
                <w:sz w:val="28"/>
                <w:szCs w:val="28"/>
                <w:shd w:val="clear" w:color="auto" w:fill="D9D9D9"/>
              </w:rPr>
            </w:pPr>
            <w:r>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34" w:type="dxa"/>
            <w:tcBorders>
              <w:top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61F1D077">
            <w:pPr>
              <w:spacing w:line="240" w:lineRule="auto"/>
              <w:ind w:left="60" w:right="60"/>
              <w:jc w:val="center"/>
              <w:rPr>
                <w:rFonts w:ascii="Times New Roman" w:hAnsi="Times New Roman" w:cs="Times New Roman"/>
                <w:b/>
                <w:color w:val="auto"/>
                <w:sz w:val="28"/>
                <w:szCs w:val="28"/>
                <w:shd w:val="clear" w:color="auto" w:fill="D9D9D9"/>
              </w:rPr>
            </w:pPr>
            <w:r>
              <w:rPr>
                <w:rFonts w:ascii="Times New Roman" w:hAnsi="Times New Roman" w:cs="Times New Roman"/>
                <w:b/>
                <w:color w:val="auto"/>
                <w:sz w:val="28"/>
                <w:szCs w:val="28"/>
                <w:shd w:val="clear" w:color="auto" w:fill="D9D9D9"/>
              </w:rPr>
              <w:t>Зміст навчального матеріалу</w:t>
            </w:r>
          </w:p>
        </w:tc>
      </w:tr>
      <w:tr w14:paraId="3F76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233EE8D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Тема 1. НЕРІВНОСТІ (</w:t>
            </w:r>
            <w:r>
              <w:rPr>
                <w:rFonts w:ascii="Times New Roman" w:hAnsi="Times New Roman" w:cs="Times New Roman"/>
                <w:i/>
                <w:color w:val="auto"/>
                <w:sz w:val="28"/>
                <w:szCs w:val="28"/>
                <w:highlight w:val="white"/>
              </w:rPr>
              <w:t>14 год</w:t>
            </w:r>
            <w:r>
              <w:rPr>
                <w:rFonts w:ascii="Times New Roman" w:hAnsi="Times New Roman" w:cs="Times New Roman"/>
                <w:color w:val="auto"/>
                <w:sz w:val="28"/>
                <w:szCs w:val="28"/>
                <w:highlight w:val="white"/>
              </w:rPr>
              <w:t>)</w:t>
            </w:r>
          </w:p>
        </w:tc>
      </w:tr>
      <w:tr w14:paraId="3E133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5" w:type="dxa"/>
            <w:tcBorders>
              <w:bottom w:val="single" w:color="000000" w:sz="8" w:space="0"/>
              <w:right w:val="single" w:color="000000" w:sz="8" w:space="0"/>
            </w:tcBorders>
            <w:tcMar>
              <w:top w:w="100" w:type="dxa"/>
              <w:left w:w="100" w:type="dxa"/>
              <w:bottom w:w="100" w:type="dxa"/>
              <w:right w:w="100" w:type="dxa"/>
            </w:tcMar>
          </w:tcPr>
          <w:p w14:paraId="428B269A">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6F54BE1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 приклади:</w:t>
            </w:r>
            <w:r>
              <w:rPr>
                <w:rFonts w:ascii="Times New Roman" w:hAnsi="Times New Roman" w:cs="Times New Roman"/>
                <w:color w:val="auto"/>
                <w:sz w:val="28"/>
                <w:szCs w:val="28"/>
                <w:highlight w:val="white"/>
              </w:rPr>
              <w:t xml:space="preserve"> числових нерівностей; нерівностей зі змінними; лінійних нерівностей з однією змінною; подвійних нерівностей;</w:t>
            </w:r>
          </w:p>
          <w:p w14:paraId="210DFBAF">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пояснює </w:t>
            </w:r>
            <w:r>
              <w:rPr>
                <w:rFonts w:ascii="Times New Roman" w:hAnsi="Times New Roman" w:cs="Times New Roman"/>
                <w:color w:val="auto"/>
                <w:sz w:val="28"/>
                <w:szCs w:val="28"/>
                <w:highlight w:val="white"/>
              </w:rPr>
              <w:t>що таке об’єднання та пере</w:t>
            </w:r>
            <w:r>
              <w:rPr>
                <w:rFonts w:ascii="Times New Roman" w:hAnsi="Times New Roman" w:cs="Times New Roman"/>
                <w:color w:val="auto"/>
                <w:sz w:val="28"/>
                <w:szCs w:val="28"/>
                <w:highlight w:val="white"/>
                <w:lang w:val="ru-RU"/>
              </w:rPr>
              <w:t>тин</w:t>
            </w:r>
            <w:r>
              <w:rPr>
                <w:rFonts w:ascii="Times New Roman" w:hAnsi="Times New Roman" w:cs="Times New Roman"/>
                <w:color w:val="auto"/>
                <w:sz w:val="28"/>
                <w:szCs w:val="28"/>
                <w:highlight w:val="white"/>
              </w:rPr>
              <w:t xml:space="preserve"> числових проміжків;</w:t>
            </w:r>
          </w:p>
          <w:p w14:paraId="307D3561">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формулює:</w:t>
            </w:r>
          </w:p>
          <w:p w14:paraId="4E7584AF">
            <w:pPr>
              <w:spacing w:line="240" w:lineRule="auto"/>
              <w:ind w:left="58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color w:val="auto"/>
                <w:sz w:val="28"/>
                <w:szCs w:val="28"/>
                <w:highlight w:val="white"/>
              </w:rPr>
              <w:tab/>
            </w:r>
            <w:r>
              <w:rPr>
                <w:rFonts w:ascii="Times New Roman" w:hAnsi="Times New Roman" w:cs="Times New Roman"/>
                <w:color w:val="auto"/>
                <w:sz w:val="28"/>
                <w:szCs w:val="28"/>
                <w:highlight w:val="white"/>
              </w:rPr>
              <w:t>властивості</w:t>
            </w:r>
            <w:r>
              <w:rPr>
                <w:rFonts w:ascii="Times New Roman" w:hAnsi="Times New Roman" w:cs="Times New Roman"/>
                <w:i/>
                <w:color w:val="auto"/>
                <w:sz w:val="28"/>
                <w:szCs w:val="28"/>
                <w:highlight w:val="white"/>
              </w:rPr>
              <w:t xml:space="preserve"> </w:t>
            </w:r>
            <w:r>
              <w:rPr>
                <w:rFonts w:ascii="Times New Roman" w:hAnsi="Times New Roman" w:cs="Times New Roman"/>
                <w:color w:val="auto"/>
                <w:sz w:val="28"/>
                <w:szCs w:val="28"/>
                <w:highlight w:val="white"/>
              </w:rPr>
              <w:t>числових нерівностей</w:t>
            </w:r>
            <w:r>
              <w:rPr>
                <w:rFonts w:ascii="Times New Roman" w:hAnsi="Times New Roman" w:cs="Times New Roman"/>
                <w:color w:val="auto"/>
                <w:sz w:val="28"/>
                <w:szCs w:val="28"/>
                <w:highlight w:val="white"/>
                <w:lang w:val="ru-RU"/>
              </w:rPr>
              <w:t>,</w:t>
            </w:r>
            <w:r>
              <w:rPr>
                <w:rFonts w:ascii="Times New Roman" w:hAnsi="Times New Roman" w:cs="Times New Roman"/>
                <w:color w:val="auto"/>
                <w:sz w:val="28"/>
                <w:szCs w:val="28"/>
                <w:highlight w:val="white"/>
              </w:rPr>
              <w:t xml:space="preserve"> властивості нерівностей зі змінною;</w:t>
            </w:r>
          </w:p>
          <w:p w14:paraId="0D6FFB21">
            <w:pPr>
              <w:spacing w:line="240" w:lineRule="auto"/>
              <w:ind w:left="58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color w:val="auto"/>
                <w:sz w:val="28"/>
                <w:szCs w:val="28"/>
                <w:highlight w:val="white"/>
              </w:rPr>
              <w:t>означення: розв’язку лінійної нерівності з однією змінною, рівносильних нерівностей;</w:t>
            </w:r>
          </w:p>
          <w:p w14:paraId="1C01D46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обґрунтовує</w:t>
            </w:r>
            <w:r>
              <w:rPr>
                <w:rFonts w:ascii="Times New Roman" w:hAnsi="Times New Roman" w:cs="Times New Roman"/>
                <w:color w:val="auto"/>
                <w:sz w:val="28"/>
                <w:szCs w:val="28"/>
                <w:highlight w:val="white"/>
              </w:rPr>
              <w:t xml:space="preserve"> властивості числових нерівностей;</w:t>
            </w:r>
          </w:p>
          <w:p w14:paraId="0D3DCB09">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зображує </w:t>
            </w:r>
            <w:r>
              <w:rPr>
                <w:rFonts w:ascii="Times New Roman" w:hAnsi="Times New Roman" w:cs="Times New Roman"/>
                <w:color w:val="auto"/>
                <w:sz w:val="28"/>
                <w:szCs w:val="28"/>
                <w:highlight w:val="white"/>
              </w:rPr>
              <w:t>на координатній прямій: об’єднання та перетин числових проміжків, задані нерівностями числові проміжки; виконує обернене завдання;</w:t>
            </w:r>
          </w:p>
          <w:p w14:paraId="16A2CF6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записує</w:t>
            </w:r>
            <w:r>
              <w:rPr>
                <w:rFonts w:ascii="Times New Roman" w:hAnsi="Times New Roman" w:cs="Times New Roman"/>
                <w:color w:val="auto"/>
                <w:sz w:val="28"/>
                <w:szCs w:val="28"/>
                <w:highlight w:val="white"/>
              </w:rPr>
              <w:t xml:space="preserve"> розв’язки нерівностей та їх систем у вигляді об’єднання числових проміжків або у вигляді відповідних нерівностей;</w:t>
            </w:r>
          </w:p>
          <w:p w14:paraId="7EFC09B8">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розв’язує: </w:t>
            </w:r>
            <w:r>
              <w:rPr>
                <w:rFonts w:ascii="Times New Roman" w:hAnsi="Times New Roman" w:cs="Times New Roman"/>
                <w:color w:val="auto"/>
                <w:sz w:val="28"/>
                <w:szCs w:val="28"/>
                <w:highlight w:val="white"/>
              </w:rPr>
              <w:t>лінійні нерівності з однією змінною; системи лінійних нерівностей з однією змінною</w:t>
            </w:r>
          </w:p>
        </w:tc>
        <w:tc>
          <w:tcPr>
            <w:tcW w:w="4734" w:type="dxa"/>
            <w:tcBorders>
              <w:bottom w:val="single" w:color="000000" w:sz="8" w:space="0"/>
              <w:right w:val="single" w:color="000000" w:sz="8" w:space="0"/>
            </w:tcBorders>
            <w:tcMar>
              <w:top w:w="100" w:type="dxa"/>
              <w:left w:w="100" w:type="dxa"/>
              <w:bottom w:w="100" w:type="dxa"/>
              <w:right w:w="100" w:type="dxa"/>
            </w:tcMar>
          </w:tcPr>
          <w:p w14:paraId="260DCD7C">
            <w:pPr>
              <w:spacing w:line="240" w:lineRule="auto"/>
              <w:ind w:left="60" w:right="60"/>
              <w:rPr>
                <w:rFonts w:ascii="Times New Roman" w:hAnsi="Times New Roman" w:cs="Times New Roman"/>
                <w:b/>
                <w:color w:val="auto"/>
                <w:sz w:val="28"/>
                <w:szCs w:val="28"/>
                <w:highlight w:val="white"/>
              </w:rPr>
            </w:pPr>
          </w:p>
          <w:p w14:paraId="7A90C86A">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Числові нерівності. Основні властивості числових нерівностей.</w:t>
            </w:r>
          </w:p>
          <w:p w14:paraId="1F657775">
            <w:pPr>
              <w:spacing w:line="240" w:lineRule="auto"/>
              <w:ind w:left="60" w:right="60"/>
              <w:rPr>
                <w:rFonts w:ascii="Times New Roman" w:hAnsi="Times New Roman" w:cs="Times New Roman"/>
                <w:color w:val="auto"/>
                <w:sz w:val="28"/>
                <w:szCs w:val="28"/>
                <w:highlight w:val="white"/>
              </w:rPr>
            </w:pPr>
          </w:p>
          <w:p w14:paraId="12A47B2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Нерівності зі змінними. Лінійні нерівності з однією змінною.</w:t>
            </w:r>
          </w:p>
          <w:p w14:paraId="4B16459D">
            <w:pPr>
              <w:spacing w:line="240" w:lineRule="auto"/>
              <w:ind w:left="60" w:right="60"/>
              <w:rPr>
                <w:rFonts w:ascii="Times New Roman" w:hAnsi="Times New Roman" w:cs="Times New Roman"/>
                <w:color w:val="auto"/>
                <w:sz w:val="28"/>
                <w:szCs w:val="28"/>
                <w:highlight w:val="white"/>
              </w:rPr>
            </w:pPr>
          </w:p>
          <w:p w14:paraId="307970D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Числові проміжки.</w:t>
            </w:r>
          </w:p>
          <w:p w14:paraId="3DEA31DC">
            <w:pPr>
              <w:spacing w:line="240" w:lineRule="auto"/>
              <w:ind w:left="60" w:right="60"/>
              <w:rPr>
                <w:rFonts w:ascii="Times New Roman" w:hAnsi="Times New Roman" w:cs="Times New Roman"/>
                <w:color w:val="auto"/>
                <w:sz w:val="28"/>
                <w:szCs w:val="28"/>
                <w:highlight w:val="white"/>
              </w:rPr>
            </w:pPr>
          </w:p>
          <w:p w14:paraId="5C878B4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Рівносильні нерівності.</w:t>
            </w:r>
          </w:p>
          <w:p w14:paraId="56F71223">
            <w:pPr>
              <w:spacing w:line="240" w:lineRule="auto"/>
              <w:ind w:left="60" w:right="60"/>
              <w:rPr>
                <w:rFonts w:ascii="Times New Roman" w:hAnsi="Times New Roman" w:cs="Times New Roman"/>
                <w:color w:val="auto"/>
                <w:sz w:val="28"/>
                <w:szCs w:val="28"/>
                <w:highlight w:val="white"/>
              </w:rPr>
            </w:pPr>
          </w:p>
          <w:p w14:paraId="5F7F9F68">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Системи лінійних нерівностей з однією змінною</w:t>
            </w:r>
          </w:p>
        </w:tc>
      </w:tr>
      <w:tr w14:paraId="444B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0272A4F6">
            <w:pPr>
              <w:spacing w:line="240" w:lineRule="auto"/>
              <w:ind w:right="60"/>
              <w:rPr>
                <w:rFonts w:ascii="Times New Roman" w:hAnsi="Times New Roman" w:cs="Times New Roman"/>
                <w:b/>
                <w:color w:val="auto"/>
                <w:sz w:val="28"/>
                <w:szCs w:val="28"/>
                <w:highlight w:val="white"/>
              </w:rPr>
            </w:pPr>
          </w:p>
          <w:p w14:paraId="032F2FDD">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Тема 2. КВАДРАТИЧНА ФУНКЦІЯ  (</w:t>
            </w:r>
            <w:r>
              <w:rPr>
                <w:rFonts w:ascii="Times New Roman" w:hAnsi="Times New Roman" w:cs="Times New Roman"/>
                <w:i/>
                <w:color w:val="auto"/>
                <w:sz w:val="28"/>
                <w:szCs w:val="28"/>
                <w:highlight w:val="white"/>
              </w:rPr>
              <w:t>20 год</w:t>
            </w:r>
            <w:r>
              <w:rPr>
                <w:rFonts w:ascii="Times New Roman" w:hAnsi="Times New Roman" w:cs="Times New Roman"/>
                <w:color w:val="auto"/>
                <w:sz w:val="28"/>
                <w:szCs w:val="28"/>
                <w:highlight w:val="white"/>
              </w:rPr>
              <w:t>)</w:t>
            </w:r>
          </w:p>
        </w:tc>
      </w:tr>
      <w:tr w14:paraId="4A20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5" w:type="dxa"/>
            <w:tcBorders>
              <w:bottom w:val="single" w:color="000000" w:sz="8" w:space="0"/>
              <w:right w:val="single" w:color="000000" w:sz="8" w:space="0"/>
            </w:tcBorders>
            <w:tcMar>
              <w:top w:w="100" w:type="dxa"/>
              <w:left w:w="100" w:type="dxa"/>
              <w:bottom w:w="100" w:type="dxa"/>
              <w:right w:w="100" w:type="dxa"/>
            </w:tcMar>
          </w:tcPr>
          <w:p w14:paraId="2BA2D765">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212E0BE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наводить приклади </w:t>
            </w:r>
            <w:r>
              <w:rPr>
                <w:rFonts w:ascii="Times New Roman" w:hAnsi="Times New Roman" w:cs="Times New Roman"/>
                <w:color w:val="auto"/>
                <w:sz w:val="28"/>
                <w:szCs w:val="28"/>
                <w:highlight w:val="white"/>
              </w:rPr>
              <w:t>квадратичної функції;</w:t>
            </w:r>
          </w:p>
          <w:p w14:paraId="7E8C021F">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обчислює</w:t>
            </w:r>
            <w:r>
              <w:rPr>
                <w:rFonts w:ascii="Times New Roman" w:hAnsi="Times New Roman" w:cs="Times New Roman"/>
                <w:color w:val="auto"/>
                <w:sz w:val="28"/>
                <w:szCs w:val="28"/>
                <w:highlight w:val="white"/>
              </w:rPr>
              <w:t xml:space="preserve"> значення функції в точці</w:t>
            </w:r>
          </w:p>
          <w:p w14:paraId="5C3A519A">
            <w:pPr>
              <w:widowControl w:val="0"/>
              <w:spacing w:line="240" w:lineRule="auto"/>
              <w:jc w:val="both"/>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пояснює </w:t>
            </w:r>
            <w:r>
              <w:rPr>
                <w:rFonts w:ascii="Times New Roman" w:hAnsi="Times New Roman" w:cs="Times New Roman"/>
                <w:color w:val="auto"/>
                <w:sz w:val="28"/>
                <w:szCs w:val="28"/>
                <w:highlight w:val="white"/>
              </w:rPr>
              <w:t xml:space="preserve">перетворення графіків функції: </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i/>
                <w:iCs/>
                <w:color w:val="auto"/>
                <w:sz w:val="28"/>
                <w:szCs w:val="28"/>
              </w:rPr>
              <w:t>а</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 →</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x</w:t>
            </w:r>
            <w:r>
              <w:rPr>
                <w:rFonts w:ascii="Times New Roman" w:hAnsi="Times New Roman" w:cs="Times New Roman"/>
                <w:i/>
                <w:iCs/>
                <w:color w:val="auto"/>
                <w:sz w:val="28"/>
                <w:szCs w:val="28"/>
              </w:rPr>
              <w:t>+а</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f</w:t>
            </w:r>
            <w:r>
              <w:rPr>
                <w:rFonts w:ascii="Times New Roman" w:hAnsi="Times New Roman" w:cs="Times New Roman"/>
                <w:i/>
                <w:iCs/>
                <w:color w:val="auto"/>
                <w:sz w:val="28"/>
                <w:szCs w:val="28"/>
              </w:rPr>
              <w:t xml:space="preserve"> </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 xml:space="preserve">) → </w:t>
            </w:r>
            <w:r>
              <w:rPr>
                <w:rFonts w:ascii="Times New Roman" w:hAnsi="Times New Roman" w:cs="Times New Roman"/>
                <w:i/>
                <w:iCs/>
                <w:color w:val="auto"/>
                <w:sz w:val="28"/>
                <w:szCs w:val="28"/>
                <w:lang w:val="en-US"/>
              </w:rPr>
              <w:t>kf</w:t>
            </w:r>
            <w:r>
              <w:rPr>
                <w:rFonts w:ascii="Times New Roman" w:hAnsi="Times New Roman" w:cs="Times New Roman"/>
                <w:i/>
                <w:iCs/>
                <w:color w:val="auto"/>
                <w:sz w:val="28"/>
                <w:szCs w:val="28"/>
              </w:rPr>
              <w:t xml:space="preserve"> </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 xml:space="preserve"> (</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 xml:space="preserve">) → – </w:t>
            </w:r>
            <w:r>
              <w:rPr>
                <w:rFonts w:ascii="Times New Roman" w:hAnsi="Times New Roman" w:cs="Times New Roman"/>
                <w:i/>
                <w:iCs/>
                <w:color w:val="auto"/>
                <w:sz w:val="28"/>
                <w:szCs w:val="28"/>
                <w:lang w:val="en-US"/>
              </w:rPr>
              <w:t>f</w:t>
            </w:r>
            <w:r>
              <w:rPr>
                <w:rFonts w:ascii="Times New Roman" w:hAnsi="Times New Roman" w:cs="Times New Roman"/>
                <w:color w:val="auto"/>
                <w:sz w:val="28"/>
                <w:szCs w:val="28"/>
              </w:rPr>
              <w:t>(</w:t>
            </w:r>
            <w:r>
              <w:rPr>
                <w:rFonts w:ascii="Times New Roman" w:hAnsi="Times New Roman" w:cs="Times New Roman"/>
                <w:i/>
                <w:iCs/>
                <w:color w:val="auto"/>
                <w:sz w:val="28"/>
                <w:szCs w:val="28"/>
                <w:lang w:val="en-US"/>
              </w:rPr>
              <w:t>x</w:t>
            </w:r>
            <w:r>
              <w:rPr>
                <w:rFonts w:ascii="Times New Roman" w:hAnsi="Times New Roman" w:cs="Times New Roman"/>
                <w:color w:val="auto"/>
                <w:sz w:val="28"/>
                <w:szCs w:val="28"/>
              </w:rPr>
              <w:t xml:space="preserve">); </w:t>
            </w:r>
            <w:r>
              <w:rPr>
                <w:rFonts w:ascii="Times New Roman" w:hAnsi="Times New Roman" w:cs="Times New Roman"/>
                <w:color w:val="auto"/>
                <w:sz w:val="28"/>
                <w:szCs w:val="28"/>
                <w:highlight w:val="white"/>
              </w:rPr>
              <w:t>алгоритм побудови графіка квадратичної функції;</w:t>
            </w:r>
          </w:p>
          <w:p w14:paraId="445961FA">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характеризує </w:t>
            </w:r>
            <w:r>
              <w:rPr>
                <w:rFonts w:ascii="Times New Roman" w:hAnsi="Times New Roman" w:cs="Times New Roman"/>
                <w:color w:val="auto"/>
                <w:sz w:val="28"/>
                <w:szCs w:val="28"/>
                <w:highlight w:val="white"/>
              </w:rPr>
              <w:t>функцію за її графіком</w:t>
            </w:r>
          </w:p>
          <w:p w14:paraId="3410964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розв’язує вправи, що передбачають:</w:t>
            </w:r>
            <w:r>
              <w:rPr>
                <w:rFonts w:ascii="Times New Roman" w:hAnsi="Times New Roman" w:cs="Times New Roman"/>
                <w:color w:val="auto"/>
                <w:sz w:val="28"/>
                <w:szCs w:val="28"/>
                <w:highlight w:val="white"/>
              </w:rPr>
              <w:t xml:space="preserve"> побудову графіка квадратичної функції; розв’язування квадратних нерівностей; знаходження розв’язків систем двох рівнянь з двома змінними, з яких хоча б одне рівняння другого степеня; складання і розв’язування систем рівнянь з двома змінними як математичних моделей прикладних задач</w:t>
            </w:r>
          </w:p>
        </w:tc>
        <w:tc>
          <w:tcPr>
            <w:tcW w:w="4734" w:type="dxa"/>
            <w:tcBorders>
              <w:bottom w:val="single" w:color="000000" w:sz="8" w:space="0"/>
              <w:right w:val="single" w:color="000000" w:sz="8" w:space="0"/>
            </w:tcBorders>
            <w:tcMar>
              <w:top w:w="100" w:type="dxa"/>
              <w:left w:w="100" w:type="dxa"/>
              <w:bottom w:w="100" w:type="dxa"/>
              <w:right w:w="100" w:type="dxa"/>
            </w:tcMar>
          </w:tcPr>
          <w:p w14:paraId="7B61EF31">
            <w:pPr>
              <w:spacing w:line="240" w:lineRule="auto"/>
              <w:ind w:left="60" w:right="60"/>
              <w:rPr>
                <w:rFonts w:ascii="Times New Roman" w:hAnsi="Times New Roman" w:cs="Times New Roman"/>
                <w:b/>
                <w:color w:val="auto"/>
                <w:sz w:val="28"/>
                <w:szCs w:val="28"/>
                <w:highlight w:val="white"/>
              </w:rPr>
            </w:pPr>
          </w:p>
          <w:p w14:paraId="77221CFD">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Властивості функції. Нулі функції, проміжки знакосталості, зростання і спадання функції, найбільше та найменше значення функції.</w:t>
            </w:r>
          </w:p>
          <w:p w14:paraId="72BF0F3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Перетворення графіків функцій.</w:t>
            </w:r>
          </w:p>
          <w:p w14:paraId="26B7B42F">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Квадратична функція, її графік і властивості.</w:t>
            </w:r>
          </w:p>
          <w:p w14:paraId="708824A5">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Квадратна нерівність. Система двох рівнянь з двома змінними.</w:t>
            </w:r>
          </w:p>
          <w:p w14:paraId="31F2C94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Система двох рівнянь з двома змінними як математична модель прикладної задачі</w:t>
            </w:r>
          </w:p>
        </w:tc>
      </w:tr>
      <w:tr w14:paraId="2BA3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566995C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Тема 3. ЧИСЛОВІ ПОСЛІДОВНОСТІ (</w:t>
            </w:r>
            <w:r>
              <w:rPr>
                <w:rFonts w:ascii="Times New Roman" w:hAnsi="Times New Roman" w:cs="Times New Roman"/>
                <w:i/>
                <w:color w:val="auto"/>
                <w:sz w:val="28"/>
                <w:szCs w:val="28"/>
                <w:highlight w:val="white"/>
              </w:rPr>
              <w:t>10 год</w:t>
            </w:r>
            <w:r>
              <w:rPr>
                <w:rFonts w:ascii="Times New Roman" w:hAnsi="Times New Roman" w:cs="Times New Roman"/>
                <w:color w:val="auto"/>
                <w:sz w:val="28"/>
                <w:szCs w:val="28"/>
                <w:highlight w:val="white"/>
              </w:rPr>
              <w:t>)</w:t>
            </w:r>
          </w:p>
        </w:tc>
      </w:tr>
      <w:tr w14:paraId="7634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5" w:type="dxa"/>
            <w:tcBorders>
              <w:bottom w:val="single" w:color="000000" w:sz="8" w:space="0"/>
              <w:right w:val="single" w:color="000000" w:sz="8" w:space="0"/>
            </w:tcBorders>
            <w:tcMar>
              <w:top w:w="100" w:type="dxa"/>
              <w:left w:w="100" w:type="dxa"/>
              <w:bottom w:w="100" w:type="dxa"/>
              <w:right w:w="100" w:type="dxa"/>
            </w:tcMar>
          </w:tcPr>
          <w:p w14:paraId="3F616F53">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17F8AB15">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 приклади:</w:t>
            </w:r>
            <w:r>
              <w:rPr>
                <w:rFonts w:ascii="Times New Roman" w:hAnsi="Times New Roman" w:cs="Times New Roman"/>
                <w:color w:val="auto"/>
                <w:sz w:val="28"/>
                <w:szCs w:val="28"/>
                <w:highlight w:val="white"/>
              </w:rPr>
              <w:t xml:space="preserve"> числової послідовності; арифметичної та геометричної прогресій;</w:t>
            </w:r>
          </w:p>
          <w:p w14:paraId="39C7F5A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формулює</w:t>
            </w:r>
            <w:r>
              <w:rPr>
                <w:rFonts w:ascii="Times New Roman" w:hAnsi="Times New Roman" w:cs="Times New Roman"/>
                <w:color w:val="auto"/>
                <w:sz w:val="28"/>
                <w:szCs w:val="28"/>
                <w:highlight w:val="white"/>
              </w:rPr>
              <w:t xml:space="preserve"> означення і властивості арифметичної та геометричної прогресій;</w:t>
            </w:r>
          </w:p>
          <w:p w14:paraId="472719C0">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записує і пояснює:</w:t>
            </w:r>
          </w:p>
          <w:p w14:paraId="4213A2AE">
            <w:pPr>
              <w:spacing w:line="240" w:lineRule="auto"/>
              <w:ind w:left="58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формули</w:t>
            </w:r>
            <w:r>
              <w:rPr>
                <w:rFonts w:ascii="Times New Roman" w:hAnsi="Times New Roman" w:cs="Times New Roman"/>
                <w:color w:val="auto"/>
                <w:sz w:val="28"/>
                <w:szCs w:val="28"/>
                <w:highlight w:val="white"/>
              </w:rPr>
              <w:t xml:space="preserve">: </w:t>
            </w:r>
            <w:r>
              <w:rPr>
                <w:rFonts w:ascii="Times New Roman" w:hAnsi="Times New Roman" w:cs="Times New Roman"/>
                <w:color w:val="auto"/>
                <w:sz w:val="28"/>
                <w:szCs w:val="28"/>
                <w:highlight w:val="white"/>
                <w:lang w:val="en-US"/>
              </w:rPr>
              <w:t>n</w:t>
            </w:r>
            <w:r>
              <w:rPr>
                <w:rFonts w:ascii="Times New Roman" w:hAnsi="Times New Roman" w:cs="Times New Roman"/>
                <w:color w:val="auto"/>
                <w:sz w:val="28"/>
                <w:szCs w:val="28"/>
                <w:highlight w:val="white"/>
                <w:lang w:val="ru-RU"/>
              </w:rPr>
              <w:t>-</w:t>
            </w:r>
            <w:r>
              <w:rPr>
                <w:rFonts w:ascii="Times New Roman" w:hAnsi="Times New Roman" w:cs="Times New Roman"/>
                <w:color w:val="auto"/>
                <w:sz w:val="28"/>
                <w:szCs w:val="28"/>
                <w:highlight w:val="white"/>
              </w:rPr>
              <w:t>го  члена арифметичної та геометричної прогресій</w:t>
            </w:r>
            <w:r>
              <w:rPr>
                <w:rFonts w:ascii="Times New Roman" w:hAnsi="Times New Roman" w:cs="Times New Roman"/>
                <w:color w:val="auto"/>
                <w:sz w:val="28"/>
                <w:szCs w:val="28"/>
                <w:highlight w:val="white"/>
                <w:lang w:val="ru-RU"/>
              </w:rPr>
              <w:t>,</w:t>
            </w:r>
            <w:r>
              <w:rPr>
                <w:rFonts w:ascii="Times New Roman" w:hAnsi="Times New Roman" w:cs="Times New Roman"/>
                <w:color w:val="auto"/>
                <w:sz w:val="28"/>
                <w:szCs w:val="28"/>
                <w:highlight w:val="white"/>
              </w:rPr>
              <w:t xml:space="preserve"> суми перших </w:t>
            </w:r>
            <w:r>
              <w:rPr>
                <w:rFonts w:ascii="Times New Roman" w:hAnsi="Times New Roman" w:cs="Times New Roman"/>
                <w:i/>
                <w:color w:val="auto"/>
                <w:sz w:val="28"/>
                <w:szCs w:val="28"/>
                <w:highlight w:val="white"/>
              </w:rPr>
              <w:t>n</w:t>
            </w:r>
            <w:r>
              <w:rPr>
                <w:rFonts w:ascii="Times New Roman" w:hAnsi="Times New Roman" w:cs="Times New Roman"/>
                <w:color w:val="auto"/>
                <w:sz w:val="28"/>
                <w:szCs w:val="28"/>
                <w:highlight w:val="white"/>
              </w:rPr>
              <w:t xml:space="preserve"> членів цих прогресій;</w:t>
            </w:r>
          </w:p>
          <w:p w14:paraId="0654D571">
            <w:pPr>
              <w:spacing w:line="240" w:lineRule="auto"/>
              <w:ind w:left="58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властивості</w:t>
            </w:r>
            <w:r>
              <w:rPr>
                <w:rFonts w:ascii="Times New Roman" w:hAnsi="Times New Roman" w:cs="Times New Roman"/>
                <w:color w:val="auto"/>
                <w:sz w:val="28"/>
                <w:szCs w:val="28"/>
                <w:highlight w:val="white"/>
              </w:rPr>
              <w:t xml:space="preserve"> арифметичної та геометричної прогресій</w:t>
            </w:r>
          </w:p>
          <w:p w14:paraId="7F8CF68F">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розв’язує вправи, що передбачають:</w:t>
            </w:r>
            <w:r>
              <w:rPr>
                <w:rFonts w:ascii="Times New Roman" w:hAnsi="Times New Roman" w:cs="Times New Roman"/>
                <w:color w:val="auto"/>
                <w:sz w:val="28"/>
                <w:szCs w:val="28"/>
                <w:highlight w:val="white"/>
              </w:rPr>
              <w:t xml:space="preserve"> обчислення членів прогресії; задання прогресій за даними їх членами або співвідношеннями між ними; обчислення сум перших </w:t>
            </w:r>
            <w:r>
              <w:rPr>
                <w:rFonts w:ascii="Times New Roman" w:hAnsi="Times New Roman" w:cs="Times New Roman"/>
                <w:i/>
                <w:color w:val="auto"/>
                <w:sz w:val="28"/>
                <w:szCs w:val="28"/>
                <w:highlight w:val="white"/>
              </w:rPr>
              <w:t>n</w:t>
            </w:r>
            <w:r>
              <w:rPr>
                <w:rFonts w:ascii="Times New Roman" w:hAnsi="Times New Roman" w:cs="Times New Roman"/>
                <w:color w:val="auto"/>
                <w:sz w:val="28"/>
                <w:szCs w:val="28"/>
                <w:highlight w:val="white"/>
              </w:rPr>
              <w:t xml:space="preserve"> членів арифметичної й геометричної прогресій; використання формул загальних членів і сум прогресій для знаходження невідомих елементів прогресій</w:t>
            </w:r>
          </w:p>
        </w:tc>
        <w:tc>
          <w:tcPr>
            <w:tcW w:w="4734" w:type="dxa"/>
            <w:tcBorders>
              <w:bottom w:val="single" w:color="000000" w:sz="8" w:space="0"/>
              <w:right w:val="single" w:color="000000" w:sz="8" w:space="0"/>
            </w:tcBorders>
            <w:tcMar>
              <w:top w:w="100" w:type="dxa"/>
              <w:left w:w="100" w:type="dxa"/>
              <w:bottom w:w="100" w:type="dxa"/>
              <w:right w:w="100" w:type="dxa"/>
            </w:tcMar>
          </w:tcPr>
          <w:p w14:paraId="5DDBDA1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Числові послідовності. </w:t>
            </w:r>
          </w:p>
          <w:p w14:paraId="564A6DDC">
            <w:pPr>
              <w:spacing w:line="240" w:lineRule="auto"/>
              <w:ind w:left="60" w:right="60"/>
              <w:rPr>
                <w:rFonts w:ascii="Times New Roman" w:hAnsi="Times New Roman" w:cs="Times New Roman"/>
                <w:color w:val="auto"/>
                <w:sz w:val="28"/>
                <w:szCs w:val="28"/>
                <w:highlight w:val="white"/>
              </w:rPr>
            </w:pPr>
          </w:p>
          <w:p w14:paraId="00657208">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Арифметична та геометрична прогресії, їх властивості. Формули </w:t>
            </w:r>
            <w:r>
              <w:rPr>
                <w:rFonts w:ascii="Times New Roman" w:hAnsi="Times New Roman" w:cs="Times New Roman"/>
                <w:i/>
                <w:color w:val="auto"/>
                <w:sz w:val="28"/>
                <w:szCs w:val="28"/>
                <w:highlight w:val="white"/>
              </w:rPr>
              <w:t>n</w:t>
            </w:r>
            <w:r>
              <w:rPr>
                <w:rFonts w:ascii="Times New Roman" w:hAnsi="Times New Roman" w:cs="Times New Roman"/>
                <w:color w:val="auto"/>
                <w:sz w:val="28"/>
                <w:szCs w:val="28"/>
                <w:highlight w:val="white"/>
              </w:rPr>
              <w:t xml:space="preserve">-го члена арифметичної та геометричної прогресій. </w:t>
            </w:r>
          </w:p>
          <w:p w14:paraId="4ED45FF7">
            <w:pPr>
              <w:spacing w:line="240" w:lineRule="auto"/>
              <w:ind w:left="60" w:right="60"/>
              <w:rPr>
                <w:rFonts w:ascii="Times New Roman" w:hAnsi="Times New Roman" w:cs="Times New Roman"/>
                <w:color w:val="auto"/>
                <w:sz w:val="28"/>
                <w:szCs w:val="28"/>
                <w:highlight w:val="white"/>
              </w:rPr>
            </w:pPr>
          </w:p>
          <w:p w14:paraId="44727660">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Формули суми перших </w:t>
            </w:r>
            <w:r>
              <w:rPr>
                <w:rFonts w:ascii="Times New Roman" w:hAnsi="Times New Roman" w:cs="Times New Roman"/>
                <w:i/>
                <w:color w:val="auto"/>
                <w:sz w:val="28"/>
                <w:szCs w:val="28"/>
                <w:highlight w:val="white"/>
              </w:rPr>
              <w:t>n</w:t>
            </w:r>
            <w:r>
              <w:rPr>
                <w:rFonts w:ascii="Times New Roman" w:hAnsi="Times New Roman" w:cs="Times New Roman"/>
                <w:color w:val="auto"/>
                <w:sz w:val="28"/>
                <w:szCs w:val="28"/>
                <w:highlight w:val="white"/>
              </w:rPr>
              <w:t xml:space="preserve"> членів арифметичної та геометричної прогресій</w:t>
            </w:r>
          </w:p>
        </w:tc>
      </w:tr>
      <w:tr w14:paraId="6CBF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480E6EDC">
            <w:pPr>
              <w:spacing w:line="240" w:lineRule="auto"/>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Тема 4. ОСНОВИ КОМБІНАТОРИКИ, ТЕОРІЇ ЙМОВІРНОСТЕЙ ТА СТАТИСТИКИ (</w:t>
            </w:r>
            <w:r>
              <w:rPr>
                <w:rFonts w:ascii="Times New Roman" w:hAnsi="Times New Roman" w:cs="Times New Roman"/>
                <w:i/>
                <w:color w:val="auto"/>
                <w:sz w:val="28"/>
                <w:szCs w:val="28"/>
                <w:highlight w:val="white"/>
              </w:rPr>
              <w:t>8 год</w:t>
            </w:r>
            <w:r>
              <w:rPr>
                <w:rFonts w:ascii="Times New Roman" w:hAnsi="Times New Roman" w:cs="Times New Roman"/>
                <w:color w:val="auto"/>
                <w:sz w:val="28"/>
                <w:szCs w:val="28"/>
                <w:highlight w:val="white"/>
              </w:rPr>
              <w:t>)</w:t>
            </w:r>
          </w:p>
        </w:tc>
      </w:tr>
      <w:tr w14:paraId="41044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5" w:type="dxa"/>
            <w:tcBorders>
              <w:right w:val="single" w:color="000000" w:sz="8" w:space="0"/>
            </w:tcBorders>
            <w:tcMar>
              <w:top w:w="100" w:type="dxa"/>
              <w:left w:w="100" w:type="dxa"/>
              <w:bottom w:w="100" w:type="dxa"/>
              <w:right w:w="100" w:type="dxa"/>
            </w:tcMar>
          </w:tcPr>
          <w:p w14:paraId="13E0DB34">
            <w:pPr>
              <w:spacing w:line="240" w:lineRule="auto"/>
              <w:ind w:left="60" w:right="60"/>
              <w:jc w:val="center"/>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344628F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 приклади:</w:t>
            </w:r>
            <w:r>
              <w:rPr>
                <w:rFonts w:ascii="Times New Roman" w:hAnsi="Times New Roman" w:cs="Times New Roman"/>
                <w:color w:val="auto"/>
                <w:sz w:val="28"/>
                <w:szCs w:val="28"/>
                <w:highlight w:val="white"/>
              </w:rPr>
              <w:t xml:space="preserve"> випадкових подій, подання статистичних даних у вигляді таблиць, діаграм, графіків, застосування правил комбінаторики</w:t>
            </w:r>
          </w:p>
          <w:p w14:paraId="029D713C">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пояснює, що таке</w:t>
            </w:r>
            <w:r>
              <w:rPr>
                <w:rFonts w:ascii="Times New Roman" w:hAnsi="Times New Roman" w:cs="Times New Roman"/>
                <w:color w:val="auto"/>
                <w:sz w:val="28"/>
                <w:szCs w:val="28"/>
                <w:highlight w:val="white"/>
              </w:rPr>
              <w:t>: частота випадкової події, ймовірність випадкової події</w:t>
            </w:r>
          </w:p>
          <w:p w14:paraId="6D0DA97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знаходить, відбирає і впорядковує </w:t>
            </w:r>
            <w:r>
              <w:rPr>
                <w:rFonts w:ascii="Times New Roman" w:hAnsi="Times New Roman" w:cs="Times New Roman"/>
                <w:color w:val="auto"/>
                <w:sz w:val="28"/>
                <w:szCs w:val="28"/>
                <w:highlight w:val="white"/>
              </w:rPr>
              <w:t>інформацію з доступних джерел</w:t>
            </w:r>
          </w:p>
          <w:p w14:paraId="402A390F">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розв’язує задачі, що передбачають</w:t>
            </w:r>
            <w:r>
              <w:rPr>
                <w:rFonts w:ascii="Times New Roman" w:hAnsi="Times New Roman" w:cs="Times New Roman"/>
                <w:color w:val="auto"/>
                <w:sz w:val="28"/>
                <w:szCs w:val="28"/>
                <w:highlight w:val="white"/>
              </w:rPr>
              <w:t>:</w:t>
            </w:r>
          </w:p>
          <w:p w14:paraId="2EDBB94F">
            <w:pPr>
              <w:spacing w:line="240" w:lineRule="auto"/>
              <w:ind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використання комбінаторних правил суми та добутку; знаходження ймовірності випадкової події; обчислення частоти випадкової події; подання статистичних даних у вигляді таблиць, діаграм, графіків</w:t>
            </w:r>
          </w:p>
        </w:tc>
        <w:tc>
          <w:tcPr>
            <w:tcW w:w="4734" w:type="dxa"/>
            <w:tcBorders>
              <w:right w:val="single" w:color="000000" w:sz="8" w:space="0"/>
            </w:tcBorders>
            <w:tcMar>
              <w:top w:w="100" w:type="dxa"/>
              <w:left w:w="100" w:type="dxa"/>
              <w:bottom w:w="100" w:type="dxa"/>
              <w:right w:w="100" w:type="dxa"/>
            </w:tcMar>
          </w:tcPr>
          <w:p w14:paraId="3E60E2C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Основні правила комбінаторики. </w:t>
            </w:r>
          </w:p>
          <w:p w14:paraId="25E85597">
            <w:pPr>
              <w:spacing w:line="240" w:lineRule="auto"/>
              <w:ind w:left="60" w:right="60"/>
              <w:rPr>
                <w:rFonts w:ascii="Times New Roman" w:hAnsi="Times New Roman" w:cs="Times New Roman"/>
                <w:color w:val="auto"/>
                <w:sz w:val="28"/>
                <w:szCs w:val="28"/>
                <w:highlight w:val="white"/>
              </w:rPr>
            </w:pPr>
          </w:p>
          <w:p w14:paraId="5D285A45">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Частота та ймовірність випадкової події. </w:t>
            </w:r>
          </w:p>
          <w:p w14:paraId="701BEFCA">
            <w:pPr>
              <w:spacing w:line="240" w:lineRule="auto"/>
              <w:ind w:left="60" w:right="60"/>
              <w:rPr>
                <w:rFonts w:ascii="Times New Roman" w:hAnsi="Times New Roman" w:cs="Times New Roman"/>
                <w:color w:val="auto"/>
                <w:sz w:val="28"/>
                <w:szCs w:val="28"/>
                <w:highlight w:val="white"/>
              </w:rPr>
            </w:pPr>
          </w:p>
          <w:p w14:paraId="7ACB19B5">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Початкові відомості про статистику. </w:t>
            </w:r>
          </w:p>
          <w:p w14:paraId="5CA6225F">
            <w:pPr>
              <w:spacing w:line="240" w:lineRule="auto"/>
              <w:ind w:left="60" w:right="60"/>
              <w:rPr>
                <w:rFonts w:ascii="Times New Roman" w:hAnsi="Times New Roman" w:cs="Times New Roman"/>
                <w:color w:val="auto"/>
                <w:sz w:val="28"/>
                <w:szCs w:val="28"/>
                <w:highlight w:val="white"/>
              </w:rPr>
            </w:pPr>
          </w:p>
          <w:p w14:paraId="6C818CD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Способи подання даних та їх обробки</w:t>
            </w:r>
          </w:p>
        </w:tc>
      </w:tr>
      <w:tr w14:paraId="4BF58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9639" w:type="dxa"/>
            <w:gridSpan w:val="2"/>
            <w:tcBorders>
              <w:bottom w:val="single" w:color="000000" w:sz="8" w:space="0"/>
              <w:right w:val="single" w:color="000000" w:sz="8" w:space="0"/>
            </w:tcBorders>
            <w:tcMar>
              <w:top w:w="100" w:type="dxa"/>
              <w:left w:w="100" w:type="dxa"/>
              <w:bottom w:w="100" w:type="dxa"/>
              <w:right w:w="100" w:type="dxa"/>
            </w:tcMar>
          </w:tcPr>
          <w:p w14:paraId="5D136423">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Розв’язує сюжетні задачі на</w:t>
            </w:r>
            <w:r>
              <w:rPr>
                <w:rFonts w:ascii="Times New Roman" w:hAnsi="Times New Roman" w:cs="Times New Roman"/>
                <w:color w:val="auto"/>
                <w:sz w:val="28"/>
                <w:szCs w:val="28"/>
                <w:highlight w:val="white"/>
              </w:rPr>
              <w:t>: розрахунок та аналіз фінансової спроможності родини; розрахунок обсягу сплачених податків; прийняття рішень стосовно особистих та колективних фінансових питань тощо</w:t>
            </w:r>
          </w:p>
        </w:tc>
      </w:tr>
    </w:tbl>
    <w:p w14:paraId="25C1C22D">
      <w:pPr>
        <w:spacing w:line="240" w:lineRule="auto"/>
        <w:rPr>
          <w:rFonts w:ascii="Times New Roman" w:hAnsi="Times New Roman" w:eastAsia="Times New Roman" w:cs="Times New Roman"/>
          <w:b/>
          <w:color w:val="auto"/>
          <w:sz w:val="28"/>
          <w:szCs w:val="28"/>
          <w:highlight w:val="white"/>
        </w:rPr>
      </w:pPr>
    </w:p>
    <w:p w14:paraId="5F833187">
      <w:pPr>
        <w:spacing w:line="240" w:lineRule="auto"/>
        <w:rPr>
          <w:rFonts w:ascii="Times New Roman" w:hAnsi="Times New Roman" w:eastAsia="Times New Roman" w:cs="Times New Roman"/>
          <w:b/>
          <w:color w:val="auto"/>
          <w:sz w:val="28"/>
          <w:szCs w:val="28"/>
          <w:highlight w:val="white"/>
        </w:rPr>
      </w:pPr>
    </w:p>
    <w:p w14:paraId="5B509C7B">
      <w:pPr>
        <w:spacing w:line="240" w:lineRule="auto"/>
        <w:rPr>
          <w:rFonts w:ascii="Times New Roman" w:hAnsi="Times New Roman" w:eastAsia="Times New Roman" w:cs="Times New Roman"/>
          <w:b/>
          <w:color w:val="auto"/>
          <w:sz w:val="28"/>
          <w:szCs w:val="28"/>
          <w:highlight w:val="white"/>
        </w:rPr>
      </w:pPr>
    </w:p>
    <w:p w14:paraId="47B1E783">
      <w:pPr>
        <w:spacing w:line="240" w:lineRule="auto"/>
        <w:rPr>
          <w:rFonts w:ascii="Times New Roman" w:hAnsi="Times New Roman" w:eastAsia="Times New Roman" w:cs="Times New Roman"/>
          <w:b/>
          <w:color w:val="auto"/>
          <w:sz w:val="28"/>
          <w:szCs w:val="28"/>
          <w:highlight w:val="white"/>
        </w:rPr>
      </w:pPr>
      <w:bookmarkStart w:id="0" w:name="_GoBack"/>
      <w:bookmarkEnd w:id="0"/>
    </w:p>
    <w:p w14:paraId="470FEE52">
      <w:pPr>
        <w:spacing w:line="240" w:lineRule="auto"/>
        <w:rPr>
          <w:rFonts w:ascii="Times New Roman" w:hAnsi="Times New Roman" w:eastAsia="Times New Roman" w:cs="Times New Roman"/>
          <w:b/>
          <w:color w:val="auto"/>
          <w:sz w:val="28"/>
          <w:szCs w:val="28"/>
          <w:highlight w:val="white"/>
        </w:rPr>
      </w:pPr>
    </w:p>
    <w:p w14:paraId="4936974E">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9-й клас</w:t>
      </w:r>
    </w:p>
    <w:p w14:paraId="4E576B2B">
      <w:pPr>
        <w:spacing w:line="240" w:lineRule="auto"/>
        <w:jc w:val="center"/>
        <w:rPr>
          <w:rFonts w:ascii="Times New Roman" w:hAnsi="Times New Roman" w:eastAsia="Times New Roman" w:cs="Times New Roman"/>
          <w:b/>
          <w:color w:val="auto"/>
          <w:sz w:val="28"/>
          <w:szCs w:val="28"/>
          <w:highlight w:val="white"/>
        </w:rPr>
      </w:pPr>
    </w:p>
    <w:p w14:paraId="0AB736AD">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 xml:space="preserve"> ГЕОМЕТРІЯ</w:t>
      </w:r>
    </w:p>
    <w:p w14:paraId="31B94D76">
      <w:pPr>
        <w:spacing w:line="240" w:lineRule="auto"/>
        <w:jc w:val="center"/>
        <w:rPr>
          <w:rFonts w:ascii="Times New Roman" w:hAnsi="Times New Roman" w:eastAsia="Times New Roman" w:cs="Times New Roman"/>
          <w:b/>
          <w:color w:val="auto"/>
          <w:sz w:val="28"/>
          <w:szCs w:val="28"/>
          <w:highlight w:val="white"/>
        </w:rPr>
      </w:pPr>
    </w:p>
    <w:p w14:paraId="2CDD6DB4">
      <w:pPr>
        <w:spacing w:line="240" w:lineRule="auto"/>
        <w:jc w:val="center"/>
        <w:rPr>
          <w:rFonts w:ascii="Times New Roman" w:hAnsi="Times New Roman" w:eastAsia="Times New Roman" w:cs="Times New Roman"/>
          <w:b/>
          <w:color w:val="auto"/>
          <w:sz w:val="28"/>
          <w:szCs w:val="28"/>
          <w:highlight w:val="white"/>
        </w:rPr>
      </w:pPr>
      <w:r>
        <w:rPr>
          <w:rFonts w:ascii="Times New Roman" w:hAnsi="Times New Roman" w:eastAsia="Times New Roman" w:cs="Times New Roman"/>
          <w:b/>
          <w:color w:val="auto"/>
          <w:sz w:val="28"/>
          <w:szCs w:val="28"/>
          <w:highlight w:val="white"/>
        </w:rPr>
        <w:t>(</w:t>
      </w:r>
      <w:r>
        <w:rPr>
          <w:rFonts w:ascii="Times New Roman" w:hAnsi="Times New Roman" w:eastAsia="Times New Roman" w:cs="Times New Roman"/>
          <w:b/>
          <w:i/>
          <w:color w:val="auto"/>
          <w:sz w:val="28"/>
          <w:szCs w:val="28"/>
          <w:highlight w:val="white"/>
        </w:rPr>
        <w:t>70 год, 2 год на тиждень, резерв — 24 год</w:t>
      </w:r>
      <w:r>
        <w:rPr>
          <w:rFonts w:ascii="Times New Roman" w:hAnsi="Times New Roman" w:eastAsia="Times New Roman" w:cs="Times New Roman"/>
          <w:b/>
          <w:color w:val="auto"/>
          <w:sz w:val="28"/>
          <w:szCs w:val="28"/>
          <w:highlight w:val="white"/>
        </w:rPr>
        <w:t>)</w:t>
      </w:r>
    </w:p>
    <w:p w14:paraId="45C650F5">
      <w:pPr>
        <w:spacing w:line="240" w:lineRule="auto"/>
        <w:jc w:val="center"/>
        <w:rPr>
          <w:rFonts w:ascii="Times New Roman" w:hAnsi="Times New Roman" w:eastAsia="Times New Roman" w:cs="Times New Roman"/>
          <w:b/>
          <w:color w:val="auto"/>
          <w:sz w:val="28"/>
          <w:szCs w:val="28"/>
          <w:highlight w:val="white"/>
        </w:rPr>
      </w:pPr>
    </w:p>
    <w:tbl>
      <w:tblPr>
        <w:tblStyle w:val="9"/>
        <w:tblW w:w="9639"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04"/>
        <w:gridCol w:w="4735"/>
      </w:tblGrid>
      <w:tr w14:paraId="7FBA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top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641C942E">
            <w:pPr>
              <w:spacing w:line="240" w:lineRule="auto"/>
              <w:ind w:left="60" w:right="60"/>
              <w:jc w:val="center"/>
              <w:rPr>
                <w:rFonts w:ascii="Times New Roman" w:hAnsi="Times New Roman" w:cs="Times New Roman"/>
                <w:b/>
                <w:color w:val="auto"/>
                <w:sz w:val="28"/>
                <w:szCs w:val="28"/>
                <w:shd w:val="clear" w:color="auto" w:fill="D9D9D9"/>
              </w:rPr>
            </w:pPr>
            <w:r>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35" w:type="dxa"/>
            <w:tcBorders>
              <w:top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76D85FF">
            <w:pPr>
              <w:spacing w:line="240" w:lineRule="auto"/>
              <w:ind w:left="60" w:right="60"/>
              <w:jc w:val="center"/>
              <w:rPr>
                <w:rFonts w:ascii="Times New Roman" w:hAnsi="Times New Roman" w:cs="Times New Roman"/>
                <w:b/>
                <w:color w:val="auto"/>
                <w:sz w:val="28"/>
                <w:szCs w:val="28"/>
                <w:shd w:val="clear" w:color="auto" w:fill="D9D9D9"/>
              </w:rPr>
            </w:pPr>
            <w:r>
              <w:rPr>
                <w:rFonts w:ascii="Times New Roman" w:hAnsi="Times New Roman" w:cs="Times New Roman"/>
                <w:b/>
                <w:color w:val="auto"/>
                <w:sz w:val="28"/>
                <w:szCs w:val="28"/>
                <w:shd w:val="clear" w:color="auto" w:fill="D9D9D9"/>
              </w:rPr>
              <w:t>Зміст навчального матеріалу</w:t>
            </w:r>
          </w:p>
        </w:tc>
      </w:tr>
      <w:tr w14:paraId="473C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2D0C2D8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Тема 1. КООРДИНАТИ НА ПЛОЩИНІ </w:t>
            </w:r>
            <w:r>
              <w:rPr>
                <w:rFonts w:ascii="Times New Roman" w:hAnsi="Times New Roman" w:cs="Times New Roman"/>
                <w:i/>
                <w:color w:val="auto"/>
                <w:sz w:val="28"/>
                <w:szCs w:val="28"/>
                <w:highlight w:val="white"/>
              </w:rPr>
              <w:t>(8 год)</w:t>
            </w:r>
          </w:p>
        </w:tc>
      </w:tr>
      <w:tr w14:paraId="46D3E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bottom w:val="single" w:color="000000" w:sz="8" w:space="0"/>
              <w:right w:val="single" w:color="000000" w:sz="8" w:space="0"/>
            </w:tcBorders>
            <w:tcMar>
              <w:top w:w="100" w:type="dxa"/>
              <w:left w:w="100" w:type="dxa"/>
              <w:bottom w:w="100" w:type="dxa"/>
              <w:right w:w="100" w:type="dxa"/>
            </w:tcMar>
          </w:tcPr>
          <w:p w14:paraId="714C31A7">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1319CD2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наводить приклади </w:t>
            </w:r>
            <w:r>
              <w:rPr>
                <w:rFonts w:ascii="Times New Roman" w:hAnsi="Times New Roman" w:cs="Times New Roman"/>
                <w:color w:val="auto"/>
                <w:sz w:val="28"/>
                <w:szCs w:val="28"/>
                <w:highlight w:val="white"/>
              </w:rPr>
              <w:t>співвідношень, указаних у змісті;</w:t>
            </w:r>
          </w:p>
          <w:p w14:paraId="5FDF2F65">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пояснює</w:t>
            </w:r>
            <w:r>
              <w:rPr>
                <w:rFonts w:ascii="Times New Roman" w:hAnsi="Times New Roman" w:cs="Times New Roman"/>
                <w:color w:val="auto"/>
                <w:sz w:val="28"/>
                <w:szCs w:val="28"/>
                <w:highlight w:val="white"/>
              </w:rPr>
              <w:t>:</w:t>
            </w:r>
          </w:p>
          <w:p w14:paraId="102A2FAE">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що таке синус, косинус, тангенс кутів від 0° до 180°; рівняння фігури;</w:t>
            </w:r>
          </w:p>
          <w:p w14:paraId="3D73CE99">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як можна задати</w:t>
            </w:r>
            <w:r>
              <w:rPr>
                <w:rFonts w:ascii="Times New Roman" w:hAnsi="Times New Roman" w:cs="Times New Roman"/>
                <w:color w:val="auto"/>
                <w:sz w:val="28"/>
                <w:szCs w:val="28"/>
                <w:highlight w:val="white"/>
              </w:rPr>
              <w:t xml:space="preserve"> на </w:t>
            </w:r>
            <w:r>
              <w:rPr>
                <w:rFonts w:ascii="Times New Roman" w:hAnsi="Times New Roman" w:cs="Times New Roman"/>
                <w:color w:val="auto"/>
                <w:sz w:val="26"/>
                <w:szCs w:val="26"/>
                <w:highlight w:val="white"/>
              </w:rPr>
              <w:t>координатній площині: пряму; коло;</w:t>
            </w:r>
          </w:p>
          <w:p w14:paraId="1EC999C0">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формулює </w:t>
            </w:r>
            <w:r>
              <w:rPr>
                <w:rFonts w:ascii="Times New Roman" w:hAnsi="Times New Roman" w:cs="Times New Roman"/>
                <w:color w:val="auto"/>
                <w:sz w:val="28"/>
                <w:szCs w:val="28"/>
                <w:highlight w:val="white"/>
              </w:rPr>
              <w:t xml:space="preserve">теореми про: </w:t>
            </w:r>
            <w:r>
              <w:rPr>
                <w:rFonts w:ascii="Times New Roman" w:hAnsi="Times New Roman" w:cs="Times New Roman"/>
                <w:color w:val="auto"/>
                <w:sz w:val="28"/>
                <w:szCs w:val="28"/>
                <w:highlight w:val="white"/>
              </w:rPr>
              <w:br w:type="textWrapping"/>
            </w:r>
            <w:r>
              <w:rPr>
                <w:rFonts w:ascii="Times New Roman" w:hAnsi="Times New Roman" w:cs="Times New Roman"/>
                <w:color w:val="auto"/>
                <w:sz w:val="28"/>
                <w:szCs w:val="28"/>
                <w:highlight w:val="white"/>
              </w:rPr>
              <w:t>відстань між двома точками; координати середини відрізка;</w:t>
            </w:r>
          </w:p>
          <w:p w14:paraId="371C303E">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записує</w:t>
            </w:r>
            <w:r>
              <w:rPr>
                <w:rFonts w:ascii="Times New Roman" w:hAnsi="Times New Roman" w:cs="Times New Roman"/>
                <w:color w:val="auto"/>
                <w:sz w:val="28"/>
                <w:szCs w:val="28"/>
                <w:highlight w:val="white"/>
              </w:rPr>
              <w:t xml:space="preserve"> </w:t>
            </w:r>
            <w:r>
              <w:rPr>
                <w:rFonts w:ascii="Times New Roman" w:hAnsi="Times New Roman" w:cs="Times New Roman"/>
                <w:b/>
                <w:color w:val="auto"/>
                <w:sz w:val="28"/>
                <w:szCs w:val="28"/>
                <w:highlight w:val="white"/>
              </w:rPr>
              <w:t>та пояснює:</w:t>
            </w:r>
          </w:p>
          <w:p w14:paraId="4F739E07">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формули</w:t>
            </w:r>
            <w:r>
              <w:rPr>
                <w:rFonts w:ascii="Times New Roman" w:hAnsi="Times New Roman" w:cs="Times New Roman"/>
                <w:color w:val="auto"/>
                <w:sz w:val="28"/>
                <w:szCs w:val="28"/>
                <w:highlight w:val="white"/>
              </w:rPr>
              <w:t xml:space="preserve"> координат середини відрізка, відстані між двома точками;</w:t>
            </w:r>
          </w:p>
          <w:p w14:paraId="218254C7">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рівняння</w:t>
            </w:r>
            <w:r>
              <w:rPr>
                <w:rFonts w:ascii="Times New Roman" w:hAnsi="Times New Roman" w:cs="Times New Roman"/>
                <w:color w:val="auto"/>
                <w:sz w:val="28"/>
                <w:szCs w:val="28"/>
                <w:highlight w:val="white"/>
              </w:rPr>
              <w:t xml:space="preserve"> кола, прямої;</w:t>
            </w:r>
          </w:p>
          <w:p w14:paraId="1FFB0EC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зображує та знаходить на малюнках </w:t>
            </w:r>
            <w:r>
              <w:rPr>
                <w:rFonts w:ascii="Times New Roman" w:hAnsi="Times New Roman" w:cs="Times New Roman"/>
                <w:color w:val="auto"/>
                <w:sz w:val="28"/>
                <w:szCs w:val="28"/>
                <w:highlight w:val="white"/>
              </w:rPr>
              <w:t>геометричну фігуру (пряму, коло) за її рівнянням у заданій системі координат;</w:t>
            </w:r>
          </w:p>
          <w:p w14:paraId="7D733392">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обчислює:</w:t>
            </w:r>
          </w:p>
          <w:p w14:paraId="478E6039">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color w:val="auto"/>
                <w:sz w:val="28"/>
                <w:szCs w:val="28"/>
                <w:highlight w:val="white"/>
              </w:rPr>
              <w:t>координати середини відрізка;</w:t>
            </w:r>
          </w:p>
          <w:p w14:paraId="3C0E5209">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color w:val="auto"/>
                <w:sz w:val="28"/>
                <w:szCs w:val="28"/>
                <w:highlight w:val="white"/>
              </w:rPr>
              <w:t>відстань між двома точками, заданих своїми координатами;</w:t>
            </w:r>
          </w:p>
          <w:p w14:paraId="0C6DE94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доводить</w:t>
            </w:r>
            <w:r>
              <w:rPr>
                <w:rFonts w:ascii="Times New Roman" w:hAnsi="Times New Roman" w:cs="Times New Roman"/>
                <w:color w:val="auto"/>
                <w:sz w:val="28"/>
                <w:szCs w:val="28"/>
                <w:highlight w:val="white"/>
              </w:rPr>
              <w:t xml:space="preserve"> теорему про: відстань між двома точками; координати середини відрізка;</w:t>
            </w:r>
          </w:p>
          <w:p w14:paraId="6F9A2F1D">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застосовує</w:t>
            </w:r>
            <w:r>
              <w:rPr>
                <w:rFonts w:ascii="Times New Roman" w:hAnsi="Times New Roman" w:cs="Times New Roman"/>
                <w:color w:val="auto"/>
                <w:sz w:val="28"/>
                <w:szCs w:val="28"/>
                <w:highlight w:val="white"/>
              </w:rPr>
              <w:t xml:space="preserve"> вивчені формули й рівняння фігур до розв’язування задач</w:t>
            </w:r>
          </w:p>
        </w:tc>
        <w:tc>
          <w:tcPr>
            <w:tcW w:w="4735" w:type="dxa"/>
            <w:tcBorders>
              <w:bottom w:val="single" w:color="000000" w:sz="8" w:space="0"/>
              <w:right w:val="single" w:color="000000" w:sz="8" w:space="0"/>
            </w:tcBorders>
            <w:tcMar>
              <w:top w:w="100" w:type="dxa"/>
              <w:left w:w="100" w:type="dxa"/>
              <w:bottom w:w="100" w:type="dxa"/>
              <w:right w:w="100" w:type="dxa"/>
            </w:tcMar>
          </w:tcPr>
          <w:p w14:paraId="090E56D6">
            <w:pPr>
              <w:spacing w:line="240" w:lineRule="auto"/>
              <w:ind w:left="60" w:right="60"/>
              <w:rPr>
                <w:rFonts w:ascii="Times New Roman" w:hAnsi="Times New Roman" w:cs="Times New Roman"/>
                <w:color w:val="auto"/>
                <w:sz w:val="28"/>
                <w:szCs w:val="28"/>
              </w:rPr>
            </w:pPr>
            <w:r>
              <w:rPr>
                <w:rFonts w:ascii="Times New Roman" w:hAnsi="Times New Roman" w:cs="Times New Roman"/>
                <w:color w:val="auto"/>
                <w:sz w:val="28"/>
                <w:szCs w:val="28"/>
              </w:rPr>
              <w:t>Синус, косинус, тангенс кутів від 0° до 180°.</w:t>
            </w:r>
          </w:p>
          <w:p w14:paraId="0626076B">
            <w:pPr>
              <w:spacing w:line="240" w:lineRule="auto"/>
              <w:ind w:left="60" w:right="60"/>
              <w:rPr>
                <w:rFonts w:ascii="Times New Roman" w:hAnsi="Times New Roman" w:cs="Times New Roman"/>
                <w:color w:val="auto"/>
                <w:sz w:val="28"/>
                <w:szCs w:val="28"/>
              </w:rPr>
            </w:pPr>
            <w:r>
              <w:rPr>
                <w:rFonts w:ascii="Times New Roman" w:hAnsi="Times New Roman" w:cs="Times New Roman"/>
                <w:color w:val="auto"/>
                <w:sz w:val="28"/>
                <w:szCs w:val="28"/>
              </w:rPr>
              <w:t>Тотожності:</w:t>
            </w:r>
          </w:p>
          <w:p w14:paraId="7BF745C5">
            <w:pPr>
              <w:spacing w:line="240" w:lineRule="auto"/>
              <w:ind w:left="60" w:right="60" w:firstLine="360"/>
              <w:rPr>
                <w:rFonts w:ascii="Times New Roman" w:hAnsi="Times New Roman" w:cs="Times New Roman"/>
                <w:color w:val="auto"/>
                <w:sz w:val="28"/>
                <w:szCs w:val="28"/>
              </w:rPr>
            </w:pPr>
            <w:r>
              <w:rPr>
                <w:rFonts w:ascii="Times New Roman" w:hAnsi="Times New Roman" w:cs="Times New Roman"/>
                <w:color w:val="auto"/>
                <w:sz w:val="28"/>
                <w:szCs w:val="28"/>
              </w:rPr>
              <w:t>sin (180° – α) = sin α;</w:t>
            </w:r>
          </w:p>
          <w:p w14:paraId="583C95B8">
            <w:pPr>
              <w:spacing w:line="240" w:lineRule="auto"/>
              <w:ind w:left="60" w:right="60" w:firstLine="360"/>
              <w:rPr>
                <w:rFonts w:ascii="Times New Roman" w:hAnsi="Times New Roman" w:cs="Times New Roman"/>
                <w:color w:val="auto"/>
                <w:sz w:val="28"/>
                <w:szCs w:val="28"/>
                <w:highlight w:val="yellow"/>
              </w:rPr>
            </w:pPr>
            <w:r>
              <w:rPr>
                <w:rFonts w:ascii="Times New Roman" w:hAnsi="Times New Roman" w:cs="Times New Roman"/>
                <w:color w:val="auto"/>
                <w:sz w:val="28"/>
                <w:szCs w:val="28"/>
              </w:rPr>
              <w:t>cos (180° – α) = – cos α.</w:t>
            </w:r>
          </w:p>
          <w:p w14:paraId="27489720">
            <w:pPr>
              <w:spacing w:line="240" w:lineRule="auto"/>
              <w:ind w:left="60" w:right="60"/>
              <w:rPr>
                <w:rFonts w:ascii="Times New Roman" w:hAnsi="Times New Roman" w:cs="Times New Roman"/>
                <w:color w:val="auto"/>
                <w:sz w:val="28"/>
                <w:szCs w:val="28"/>
                <w:highlight w:val="white"/>
              </w:rPr>
            </w:pPr>
          </w:p>
          <w:p w14:paraId="26DA73F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Координати середини відрізка.</w:t>
            </w:r>
          </w:p>
          <w:p w14:paraId="259F1C80">
            <w:pPr>
              <w:spacing w:line="240" w:lineRule="auto"/>
              <w:ind w:left="60" w:right="60"/>
              <w:rPr>
                <w:rFonts w:ascii="Times New Roman" w:hAnsi="Times New Roman" w:cs="Times New Roman"/>
                <w:color w:val="auto"/>
                <w:sz w:val="28"/>
                <w:szCs w:val="28"/>
                <w:highlight w:val="white"/>
              </w:rPr>
            </w:pPr>
          </w:p>
          <w:p w14:paraId="6415319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Відстань між двома точками із заданими координатами.</w:t>
            </w:r>
          </w:p>
          <w:p w14:paraId="1C1B6411">
            <w:pPr>
              <w:spacing w:line="240" w:lineRule="auto"/>
              <w:ind w:left="60" w:right="60"/>
              <w:rPr>
                <w:rFonts w:ascii="Times New Roman" w:hAnsi="Times New Roman" w:cs="Times New Roman"/>
                <w:color w:val="auto"/>
                <w:sz w:val="28"/>
                <w:szCs w:val="28"/>
                <w:highlight w:val="white"/>
              </w:rPr>
            </w:pPr>
          </w:p>
          <w:p w14:paraId="61DA923A">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Рівняння кола і прямої</w:t>
            </w:r>
          </w:p>
          <w:p w14:paraId="1928A1CD">
            <w:pPr>
              <w:spacing w:line="240" w:lineRule="auto"/>
              <w:ind w:left="60" w:right="60" w:firstLine="360"/>
              <w:rPr>
                <w:rFonts w:ascii="Times New Roman" w:hAnsi="Times New Roman" w:cs="Times New Roman"/>
                <w:color w:val="auto"/>
                <w:sz w:val="28"/>
                <w:szCs w:val="28"/>
                <w:highlight w:val="white"/>
              </w:rPr>
            </w:pPr>
          </w:p>
        </w:tc>
      </w:tr>
      <w:tr w14:paraId="679F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9639" w:type="dxa"/>
            <w:gridSpan w:val="2"/>
            <w:tcBorders>
              <w:bottom w:val="single" w:color="000000" w:sz="8" w:space="0"/>
              <w:right w:val="single" w:color="000000" w:sz="8" w:space="0"/>
            </w:tcBorders>
            <w:tcMar>
              <w:top w:w="100" w:type="dxa"/>
              <w:left w:w="100" w:type="dxa"/>
              <w:bottom w:w="100" w:type="dxa"/>
              <w:right w:w="100" w:type="dxa"/>
            </w:tcMar>
          </w:tcPr>
          <w:p w14:paraId="4AC7A20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Тема 2. ВЕКТОРИ НА ПЛОЩИНІ</w:t>
            </w:r>
            <w:r>
              <w:rPr>
                <w:rFonts w:ascii="Times New Roman" w:hAnsi="Times New Roman" w:cs="Times New Roman"/>
                <w:color w:val="auto"/>
                <w:sz w:val="28"/>
                <w:szCs w:val="28"/>
                <w:highlight w:val="white"/>
              </w:rPr>
              <w:t xml:space="preserve">  (</w:t>
            </w:r>
            <w:r>
              <w:rPr>
                <w:rFonts w:ascii="Times New Roman" w:hAnsi="Times New Roman" w:cs="Times New Roman"/>
                <w:i/>
                <w:color w:val="auto"/>
                <w:sz w:val="28"/>
                <w:szCs w:val="28"/>
                <w:highlight w:val="white"/>
              </w:rPr>
              <w:t>12 год</w:t>
            </w:r>
            <w:r>
              <w:rPr>
                <w:rFonts w:ascii="Times New Roman" w:hAnsi="Times New Roman" w:cs="Times New Roman"/>
                <w:color w:val="auto"/>
                <w:sz w:val="28"/>
                <w:szCs w:val="28"/>
                <w:highlight w:val="white"/>
              </w:rPr>
              <w:t>)</w:t>
            </w:r>
          </w:p>
        </w:tc>
      </w:tr>
      <w:tr w14:paraId="6C15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bottom w:val="single" w:color="000000" w:sz="8" w:space="0"/>
              <w:right w:val="single" w:color="000000" w:sz="8" w:space="0"/>
            </w:tcBorders>
            <w:tcMar>
              <w:top w:w="100" w:type="dxa"/>
              <w:left w:w="100" w:type="dxa"/>
              <w:bottom w:w="100" w:type="dxa"/>
              <w:right w:w="100" w:type="dxa"/>
            </w:tcMar>
          </w:tcPr>
          <w:p w14:paraId="5C105363">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795BE09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w:t>
            </w:r>
            <w:r>
              <w:rPr>
                <w:rFonts w:ascii="Times New Roman" w:hAnsi="Times New Roman" w:cs="Times New Roman"/>
                <w:color w:val="auto"/>
                <w:sz w:val="28"/>
                <w:szCs w:val="28"/>
                <w:highlight w:val="white"/>
              </w:rPr>
              <w:t xml:space="preserve"> </w:t>
            </w:r>
            <w:r>
              <w:rPr>
                <w:rFonts w:ascii="Times New Roman" w:hAnsi="Times New Roman" w:cs="Times New Roman"/>
                <w:b/>
                <w:color w:val="auto"/>
                <w:sz w:val="28"/>
                <w:szCs w:val="28"/>
                <w:highlight w:val="white"/>
              </w:rPr>
              <w:t>приклади:</w:t>
            </w:r>
            <w:r>
              <w:rPr>
                <w:rFonts w:ascii="Times New Roman" w:hAnsi="Times New Roman" w:cs="Times New Roman"/>
                <w:color w:val="auto"/>
                <w:sz w:val="28"/>
                <w:szCs w:val="28"/>
                <w:highlight w:val="white"/>
              </w:rPr>
              <w:t xml:space="preserve"> рівних, протилежних, колінеарних векторів;</w:t>
            </w:r>
          </w:p>
          <w:p w14:paraId="54C4FD91">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пояснює:</w:t>
            </w:r>
          </w:p>
          <w:p w14:paraId="24407A5F">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що таке</w:t>
            </w:r>
            <w:r>
              <w:rPr>
                <w:rFonts w:ascii="Times New Roman" w:hAnsi="Times New Roman" w:cs="Times New Roman"/>
                <w:color w:val="auto"/>
                <w:sz w:val="28"/>
                <w:szCs w:val="28"/>
                <w:highlight w:val="white"/>
              </w:rPr>
              <w:t>: вектор; модуль і напрям вектора; одиничний вектор; нуль-вектор; колінеарні вектори; протилежні вектори; координати вектора; сума і різниця векторів; добуток вектора на число;</w:t>
            </w:r>
          </w:p>
          <w:p w14:paraId="58A3480E">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як задати</w:t>
            </w:r>
            <w:r>
              <w:rPr>
                <w:rFonts w:ascii="Times New Roman" w:hAnsi="Times New Roman" w:cs="Times New Roman"/>
                <w:color w:val="auto"/>
                <w:sz w:val="28"/>
                <w:szCs w:val="28"/>
                <w:highlight w:val="white"/>
              </w:rPr>
              <w:t xml:space="preserve"> вектор;</w:t>
            </w:r>
          </w:p>
          <w:p w14:paraId="0B102E1C">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як відкласти</w:t>
            </w:r>
            <w:r>
              <w:rPr>
                <w:rFonts w:ascii="Times New Roman" w:hAnsi="Times New Roman" w:cs="Times New Roman"/>
                <w:color w:val="auto"/>
                <w:sz w:val="28"/>
                <w:szCs w:val="28"/>
                <w:highlight w:val="white"/>
              </w:rPr>
              <w:t xml:space="preserve"> вектор від заданої точки;</w:t>
            </w:r>
          </w:p>
          <w:p w14:paraId="06C5A6AA">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за якими правилами</w:t>
            </w:r>
            <w:r>
              <w:rPr>
                <w:rFonts w:ascii="Times New Roman" w:hAnsi="Times New Roman" w:cs="Times New Roman"/>
                <w:color w:val="auto"/>
                <w:sz w:val="28"/>
                <w:szCs w:val="28"/>
                <w:highlight w:val="white"/>
              </w:rPr>
              <w:t xml:space="preserve"> </w:t>
            </w:r>
            <w:r>
              <w:rPr>
                <w:rFonts w:ascii="Times New Roman" w:hAnsi="Times New Roman" w:cs="Times New Roman"/>
                <w:i/>
                <w:color w:val="auto"/>
                <w:sz w:val="28"/>
                <w:szCs w:val="28"/>
                <w:highlight w:val="white"/>
              </w:rPr>
              <w:t>знаходять</w:t>
            </w:r>
            <w:r>
              <w:rPr>
                <w:rFonts w:ascii="Times New Roman" w:hAnsi="Times New Roman" w:cs="Times New Roman"/>
                <w:color w:val="auto"/>
                <w:sz w:val="28"/>
                <w:szCs w:val="28"/>
                <w:highlight w:val="white"/>
              </w:rPr>
              <w:t>: суму векторів; добуток вектора на число;</w:t>
            </w:r>
          </w:p>
          <w:p w14:paraId="67978DF7">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формулює:</w:t>
            </w:r>
          </w:p>
          <w:p w14:paraId="3C2E1E23">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означення</w:t>
            </w:r>
            <w:r>
              <w:rPr>
                <w:rFonts w:ascii="Times New Roman" w:hAnsi="Times New Roman" w:cs="Times New Roman"/>
                <w:color w:val="auto"/>
                <w:sz w:val="28"/>
                <w:szCs w:val="28"/>
                <w:highlight w:val="white"/>
              </w:rPr>
              <w:t>: рівних векторів; скалярного добутку векторів;</w:t>
            </w:r>
          </w:p>
          <w:p w14:paraId="504703A6">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властивості</w:t>
            </w:r>
            <w:r>
              <w:rPr>
                <w:rFonts w:ascii="Times New Roman" w:hAnsi="Times New Roman" w:cs="Times New Roman"/>
                <w:color w:val="auto"/>
                <w:sz w:val="28"/>
                <w:szCs w:val="28"/>
                <w:highlight w:val="white"/>
              </w:rPr>
              <w:t>:</w:t>
            </w:r>
            <w:r>
              <w:rPr>
                <w:rFonts w:ascii="Times New Roman" w:hAnsi="Times New Roman" w:cs="Times New Roman"/>
                <w:i/>
                <w:color w:val="auto"/>
                <w:sz w:val="28"/>
                <w:szCs w:val="28"/>
                <w:highlight w:val="white"/>
              </w:rPr>
              <w:t xml:space="preserve"> </w:t>
            </w:r>
            <w:r>
              <w:rPr>
                <w:rFonts w:ascii="Times New Roman" w:hAnsi="Times New Roman" w:cs="Times New Roman"/>
                <w:color w:val="auto"/>
                <w:sz w:val="28"/>
                <w:szCs w:val="28"/>
                <w:highlight w:val="white"/>
              </w:rPr>
              <w:t xml:space="preserve">дій над векторами; </w:t>
            </w:r>
          </w:p>
          <w:p w14:paraId="4F63D67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зображує і знаходить на малюнках: </w:t>
            </w:r>
            <w:r>
              <w:rPr>
                <w:rFonts w:ascii="Times New Roman" w:hAnsi="Times New Roman" w:cs="Times New Roman"/>
                <w:color w:val="auto"/>
                <w:sz w:val="28"/>
                <w:szCs w:val="28"/>
                <w:highlight w:val="white"/>
              </w:rPr>
              <w:t>вектор; вектор, рівний або протилежний даному, колінеарний із даним, у т. ч. за його координатами; вектор, що дорівнює сумі (різниці) векторів, добутку вектора на число;</w:t>
            </w:r>
          </w:p>
          <w:p w14:paraId="442760EE">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обчислює:</w:t>
            </w:r>
          </w:p>
          <w:p w14:paraId="35BE722A">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color w:val="auto"/>
                <w:sz w:val="28"/>
                <w:szCs w:val="28"/>
                <w:highlight w:val="white"/>
              </w:rPr>
              <w:tab/>
            </w:r>
            <w:r>
              <w:rPr>
                <w:rFonts w:ascii="Times New Roman" w:hAnsi="Times New Roman" w:cs="Times New Roman"/>
                <w:color w:val="auto"/>
                <w:sz w:val="28"/>
                <w:szCs w:val="28"/>
                <w:highlight w:val="white"/>
              </w:rPr>
              <w:t>координати вектора,</w:t>
            </w:r>
            <w:r>
              <w:rPr>
                <w:rFonts w:ascii="Times New Roman" w:hAnsi="Times New Roman" w:cs="Times New Roman"/>
                <w:b/>
                <w:color w:val="auto"/>
                <w:sz w:val="28"/>
                <w:szCs w:val="28"/>
                <w:highlight w:val="white"/>
              </w:rPr>
              <w:t xml:space="preserve"> </w:t>
            </w:r>
            <w:r>
              <w:rPr>
                <w:rFonts w:ascii="Times New Roman" w:hAnsi="Times New Roman" w:cs="Times New Roman"/>
                <w:color w:val="auto"/>
                <w:sz w:val="28"/>
                <w:szCs w:val="28"/>
                <w:highlight w:val="white"/>
              </w:rPr>
              <w:t>суми (різниці) векторів, добутку вектора на число;</w:t>
            </w:r>
          </w:p>
          <w:p w14:paraId="662E77B8">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eastAsia="Times New Roman" w:cs="Times New Roman"/>
                <w:color w:val="auto"/>
                <w:sz w:val="28"/>
                <w:szCs w:val="28"/>
                <w:highlight w:val="white"/>
              </w:rPr>
              <w:tab/>
            </w:r>
            <w:r>
              <w:rPr>
                <w:rFonts w:ascii="Times New Roman" w:hAnsi="Times New Roman" w:cs="Times New Roman"/>
                <w:color w:val="auto"/>
                <w:sz w:val="28"/>
                <w:szCs w:val="28"/>
                <w:highlight w:val="white"/>
              </w:rPr>
              <w:t>довжину вектора, кут між двома векторами;</w:t>
            </w:r>
          </w:p>
          <w:p w14:paraId="1FB3AC1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обґрунтовує: </w:t>
            </w:r>
            <w:r>
              <w:rPr>
                <w:rFonts w:ascii="Times New Roman" w:hAnsi="Times New Roman" w:cs="Times New Roman"/>
                <w:color w:val="auto"/>
                <w:sz w:val="28"/>
                <w:szCs w:val="28"/>
                <w:highlight w:val="white"/>
              </w:rPr>
              <w:t>рівність, колінеарність векторів;</w:t>
            </w:r>
          </w:p>
          <w:p w14:paraId="4ADE4E9E">
            <w:pPr>
              <w:spacing w:line="240" w:lineRule="auto"/>
              <w:ind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застосовує</w:t>
            </w:r>
            <w:r>
              <w:rPr>
                <w:rFonts w:ascii="Times New Roman" w:hAnsi="Times New Roman" w:cs="Times New Roman"/>
                <w:color w:val="auto"/>
                <w:sz w:val="28"/>
                <w:szCs w:val="28"/>
                <w:highlight w:val="white"/>
              </w:rPr>
              <w:t xml:space="preserve"> вивчені означення й властивості до розв’язування задач</w:t>
            </w:r>
          </w:p>
        </w:tc>
        <w:tc>
          <w:tcPr>
            <w:tcW w:w="4735" w:type="dxa"/>
            <w:tcBorders>
              <w:bottom w:val="single" w:color="000000" w:sz="8" w:space="0"/>
              <w:right w:val="single" w:color="000000" w:sz="8" w:space="0"/>
            </w:tcBorders>
            <w:tcMar>
              <w:top w:w="100" w:type="dxa"/>
              <w:left w:w="100" w:type="dxa"/>
              <w:bottom w:w="100" w:type="dxa"/>
              <w:right w:w="100" w:type="dxa"/>
            </w:tcMar>
          </w:tcPr>
          <w:p w14:paraId="4D7ACFD3">
            <w:pPr>
              <w:spacing w:line="240" w:lineRule="auto"/>
              <w:ind w:left="60" w:right="60"/>
              <w:rPr>
                <w:rFonts w:ascii="Times New Roman" w:hAnsi="Times New Roman" w:cs="Times New Roman"/>
                <w:b/>
                <w:color w:val="auto"/>
                <w:sz w:val="28"/>
                <w:szCs w:val="28"/>
                <w:highlight w:val="white"/>
              </w:rPr>
            </w:pPr>
          </w:p>
          <w:p w14:paraId="7B83B5FA">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Вектор. Модуль і напрям вектора. Рівність векторів. </w:t>
            </w:r>
          </w:p>
          <w:p w14:paraId="06E94058">
            <w:pPr>
              <w:spacing w:line="240" w:lineRule="auto"/>
              <w:ind w:left="60" w:right="60"/>
              <w:rPr>
                <w:rFonts w:ascii="Times New Roman" w:hAnsi="Times New Roman" w:cs="Times New Roman"/>
                <w:color w:val="auto"/>
                <w:sz w:val="28"/>
                <w:szCs w:val="28"/>
                <w:highlight w:val="white"/>
              </w:rPr>
            </w:pPr>
          </w:p>
          <w:p w14:paraId="3D5621A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Координати вектора. Додавання і віднімання векторів. Множення вектора на число. Колінеарні вектори. Скалярний добуток векторів</w:t>
            </w:r>
          </w:p>
          <w:p w14:paraId="2C55A131">
            <w:pPr>
              <w:spacing w:line="240" w:lineRule="auto"/>
              <w:ind w:left="60" w:right="60"/>
              <w:rPr>
                <w:rFonts w:ascii="Times New Roman" w:hAnsi="Times New Roman" w:cs="Times New Roman"/>
                <w:color w:val="auto"/>
                <w:sz w:val="28"/>
                <w:szCs w:val="28"/>
                <w:highlight w:val="white"/>
              </w:rPr>
            </w:pPr>
          </w:p>
        </w:tc>
      </w:tr>
      <w:tr w14:paraId="2808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9639" w:type="dxa"/>
            <w:gridSpan w:val="2"/>
            <w:tcBorders>
              <w:bottom w:val="single" w:color="000000" w:sz="8" w:space="0"/>
              <w:right w:val="single" w:color="000000" w:sz="8" w:space="0"/>
            </w:tcBorders>
            <w:tcMar>
              <w:top w:w="100" w:type="dxa"/>
              <w:left w:w="100" w:type="dxa"/>
              <w:bottom w:w="100" w:type="dxa"/>
              <w:right w:w="100" w:type="dxa"/>
            </w:tcMar>
          </w:tcPr>
          <w:p w14:paraId="145B77F7">
            <w:pPr>
              <w:pStyle w:val="3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57"/>
              <w:rPr>
                <w:b/>
                <w:bCs/>
                <w:sz w:val="28"/>
                <w:szCs w:val="28"/>
                <w:lang w:val="uk-UA"/>
              </w:rPr>
            </w:pPr>
          </w:p>
          <w:p w14:paraId="1415EBEA">
            <w:pPr>
              <w:pStyle w:val="3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b/>
                <w:sz w:val="28"/>
                <w:szCs w:val="28"/>
                <w:highlight w:val="white"/>
                <w:lang w:val="uk-UA"/>
              </w:rPr>
            </w:pPr>
            <w:r>
              <w:rPr>
                <w:b/>
                <w:bCs/>
                <w:sz w:val="28"/>
                <w:szCs w:val="28"/>
                <w:lang w:val="uk-UA"/>
              </w:rPr>
              <w:t>Тема 3. РОЗВ’ЯЗУВАННЯ ТРИКУТНИКІВ</w:t>
            </w:r>
            <w:r>
              <w:rPr>
                <w:b/>
                <w:bCs/>
                <w:sz w:val="28"/>
                <w:szCs w:val="28"/>
              </w:rPr>
              <w:t xml:space="preserve"> </w:t>
            </w:r>
            <w:r>
              <w:rPr>
                <w:b/>
                <w:bCs/>
                <w:sz w:val="28"/>
                <w:szCs w:val="28"/>
                <w:lang w:val="uk-UA"/>
              </w:rPr>
              <w:t>(</w:t>
            </w:r>
            <w:r>
              <w:rPr>
                <w:bCs/>
                <w:i/>
                <w:sz w:val="28"/>
                <w:szCs w:val="28"/>
              </w:rPr>
              <w:t>10</w:t>
            </w:r>
            <w:r>
              <w:rPr>
                <w:bCs/>
                <w:i/>
                <w:sz w:val="28"/>
                <w:szCs w:val="28"/>
                <w:lang w:val="uk-UA"/>
              </w:rPr>
              <w:t xml:space="preserve"> год</w:t>
            </w:r>
            <w:r>
              <w:rPr>
                <w:bCs/>
                <w:sz w:val="28"/>
                <w:szCs w:val="28"/>
                <w:lang w:val="uk-UA"/>
              </w:rPr>
              <w:t>)</w:t>
            </w:r>
          </w:p>
        </w:tc>
      </w:tr>
      <w:tr w14:paraId="43D7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bottom w:val="single" w:color="000000" w:sz="8" w:space="0"/>
              <w:right w:val="single" w:color="000000" w:sz="8" w:space="0"/>
            </w:tcBorders>
            <w:tcMar>
              <w:top w:w="100" w:type="dxa"/>
              <w:left w:w="100" w:type="dxa"/>
              <w:bottom w:w="100" w:type="dxa"/>
              <w:right w:w="100" w:type="dxa"/>
            </w:tcMar>
          </w:tcPr>
          <w:p w14:paraId="5E511AAB">
            <w:pPr>
              <w:pStyle w:val="3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b/>
                <w:bCs/>
                <w:sz w:val="28"/>
                <w:szCs w:val="28"/>
                <w:lang w:val="uk-UA"/>
              </w:rPr>
            </w:pPr>
            <w:r>
              <w:rPr>
                <w:b/>
                <w:bCs/>
                <w:sz w:val="28"/>
                <w:szCs w:val="28"/>
                <w:lang w:val="uk-UA"/>
              </w:rPr>
              <w:t>Учень/учениця:</w:t>
            </w:r>
          </w:p>
          <w:p w14:paraId="68790D9A">
            <w:pPr>
              <w:pStyle w:val="36"/>
              <w:tabs>
                <w:tab w:val="left" w:pos="284"/>
              </w:tabs>
              <w:spacing w:line="240" w:lineRule="auto"/>
              <w:ind w:left="57" w:right="57" w:hanging="15"/>
              <w:rPr>
                <w:sz w:val="28"/>
                <w:szCs w:val="28"/>
                <w:lang w:val="uk-UA"/>
              </w:rPr>
            </w:pPr>
            <w:r>
              <w:rPr>
                <w:b/>
                <w:bCs/>
                <w:sz w:val="28"/>
                <w:szCs w:val="28"/>
                <w:lang w:val="uk-UA"/>
              </w:rPr>
              <w:t xml:space="preserve">пояснює, </w:t>
            </w:r>
            <w:r>
              <w:rPr>
                <w:sz w:val="28"/>
                <w:szCs w:val="28"/>
                <w:lang w:val="uk-UA"/>
              </w:rPr>
              <w:t>що означає «розв’язати трикутник»;</w:t>
            </w:r>
          </w:p>
          <w:p w14:paraId="070BB3FA">
            <w:pPr>
              <w:pStyle w:val="36"/>
              <w:tabs>
                <w:tab w:val="left" w:pos="284"/>
              </w:tabs>
              <w:spacing w:line="240" w:lineRule="auto"/>
              <w:ind w:left="57" w:right="57" w:hanging="15"/>
              <w:rPr>
                <w:sz w:val="28"/>
                <w:szCs w:val="28"/>
                <w:lang w:val="uk-UA"/>
              </w:rPr>
            </w:pPr>
            <w:r>
              <w:rPr>
                <w:b/>
                <w:bCs/>
                <w:sz w:val="28"/>
                <w:szCs w:val="28"/>
                <w:lang w:val="uk-UA"/>
              </w:rPr>
              <w:t>формулює</w:t>
            </w:r>
            <w:r>
              <w:rPr>
                <w:sz w:val="28"/>
                <w:szCs w:val="28"/>
                <w:lang w:val="uk-UA"/>
              </w:rPr>
              <w:t xml:space="preserve"> теорему: косинусів; синусів;</w:t>
            </w:r>
          </w:p>
          <w:p w14:paraId="670427EE">
            <w:pPr>
              <w:pStyle w:val="36"/>
              <w:tabs>
                <w:tab w:val="left" w:pos="284"/>
              </w:tabs>
              <w:spacing w:line="240" w:lineRule="auto"/>
              <w:ind w:left="57" w:right="57" w:hanging="15"/>
              <w:rPr>
                <w:sz w:val="28"/>
                <w:szCs w:val="28"/>
                <w:lang w:val="uk-UA"/>
              </w:rPr>
            </w:pPr>
            <w:r>
              <w:rPr>
                <w:b/>
                <w:bCs/>
                <w:sz w:val="28"/>
                <w:szCs w:val="28"/>
                <w:lang w:val="uk-UA"/>
              </w:rPr>
              <w:t>записує</w:t>
            </w:r>
            <w:r>
              <w:rPr>
                <w:sz w:val="28"/>
                <w:szCs w:val="28"/>
                <w:lang w:val="uk-UA"/>
              </w:rPr>
              <w:t xml:space="preserve"> </w:t>
            </w:r>
            <w:r>
              <w:rPr>
                <w:b/>
                <w:sz w:val="28"/>
                <w:szCs w:val="28"/>
                <w:lang w:val="uk-UA"/>
              </w:rPr>
              <w:t xml:space="preserve">та пояснює </w:t>
            </w:r>
            <w:r>
              <w:rPr>
                <w:sz w:val="28"/>
                <w:szCs w:val="28"/>
                <w:lang w:val="uk-UA"/>
              </w:rPr>
              <w:t>формули площі трикутника (Герона; за двома сторонами і кутом між ними);</w:t>
            </w:r>
          </w:p>
          <w:p w14:paraId="257CB273">
            <w:pPr>
              <w:pStyle w:val="36"/>
              <w:tabs>
                <w:tab w:val="left" w:pos="284"/>
              </w:tabs>
              <w:spacing w:line="240" w:lineRule="auto"/>
              <w:ind w:left="57" w:right="57" w:hanging="15"/>
              <w:rPr>
                <w:bCs/>
                <w:sz w:val="28"/>
                <w:szCs w:val="28"/>
                <w:lang w:val="uk-UA"/>
              </w:rPr>
            </w:pPr>
            <w:r>
              <w:rPr>
                <w:b/>
                <w:bCs/>
                <w:sz w:val="28"/>
                <w:szCs w:val="28"/>
                <w:lang w:val="uk-UA"/>
              </w:rPr>
              <w:t>зображує</w:t>
            </w:r>
            <w:r>
              <w:rPr>
                <w:b/>
                <w:sz w:val="28"/>
                <w:szCs w:val="28"/>
                <w:lang w:val="uk-UA"/>
              </w:rPr>
              <w:t xml:space="preserve"> та знаходить на малюнках </w:t>
            </w:r>
            <w:r>
              <w:rPr>
                <w:sz w:val="28"/>
                <w:szCs w:val="28"/>
                <w:lang w:val="uk-UA"/>
              </w:rPr>
              <w:t>елементи трикутника, необхідні для обчислення його невідомих елементів;</w:t>
            </w:r>
          </w:p>
          <w:p w14:paraId="3BD6A937">
            <w:pPr>
              <w:pStyle w:val="36"/>
              <w:spacing w:line="240" w:lineRule="auto"/>
              <w:ind w:left="57" w:right="57" w:hanging="15"/>
              <w:rPr>
                <w:sz w:val="28"/>
                <w:szCs w:val="28"/>
                <w:lang w:val="uk-UA"/>
              </w:rPr>
            </w:pPr>
            <w:r>
              <w:rPr>
                <w:b/>
                <w:bCs/>
                <w:sz w:val="28"/>
                <w:szCs w:val="28"/>
                <w:lang w:val="uk-UA"/>
              </w:rPr>
              <w:t>обчислює:</w:t>
            </w:r>
            <w:r>
              <w:rPr>
                <w:sz w:val="28"/>
                <w:szCs w:val="28"/>
                <w:lang w:val="uk-UA"/>
              </w:rPr>
              <w:t xml:space="preserve"> довжини невідомих сторін та градусні міри невідомих кутів трикутника; площі трикутників;</w:t>
            </w:r>
          </w:p>
          <w:p w14:paraId="352668BD">
            <w:pPr>
              <w:spacing w:line="240" w:lineRule="auto"/>
              <w:ind w:left="60" w:right="60" w:hanging="15"/>
              <w:rPr>
                <w:rFonts w:ascii="Times New Roman" w:hAnsi="Times New Roman" w:cs="Times New Roman"/>
                <w:b/>
                <w:color w:val="auto"/>
                <w:sz w:val="28"/>
                <w:szCs w:val="28"/>
                <w:highlight w:val="white"/>
              </w:rPr>
            </w:pPr>
            <w:r>
              <w:rPr>
                <w:rFonts w:ascii="Times New Roman" w:hAnsi="Times New Roman" w:cs="Times New Roman"/>
                <w:b/>
                <w:bCs/>
                <w:color w:val="auto"/>
                <w:sz w:val="28"/>
                <w:szCs w:val="28"/>
              </w:rPr>
              <w:t>застосовує</w:t>
            </w:r>
            <w:r>
              <w:rPr>
                <w:rFonts w:ascii="Times New Roman" w:hAnsi="Times New Roman" w:cs="Times New Roman"/>
                <w:color w:val="auto"/>
                <w:sz w:val="28"/>
                <w:szCs w:val="28"/>
              </w:rPr>
              <w:t xml:space="preserve"> вивчені формули й властивості до розв’язування задач</w:t>
            </w:r>
          </w:p>
        </w:tc>
        <w:tc>
          <w:tcPr>
            <w:tcW w:w="4735" w:type="dxa"/>
            <w:tcBorders>
              <w:bottom w:val="single" w:color="000000" w:sz="8" w:space="0"/>
              <w:right w:val="single" w:color="000000" w:sz="8" w:space="0"/>
            </w:tcBorders>
            <w:tcMar>
              <w:top w:w="100" w:type="dxa"/>
              <w:left w:w="100" w:type="dxa"/>
              <w:bottom w:w="100" w:type="dxa"/>
              <w:right w:w="100" w:type="dxa"/>
            </w:tcMar>
          </w:tcPr>
          <w:p w14:paraId="1D8CF89F">
            <w:pPr>
              <w:pStyle w:val="3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sz w:val="28"/>
                <w:szCs w:val="28"/>
                <w:lang w:val="uk-UA"/>
              </w:rPr>
            </w:pPr>
            <w:r>
              <w:rPr>
                <w:sz w:val="28"/>
                <w:szCs w:val="28"/>
                <w:lang w:val="uk-UA"/>
              </w:rPr>
              <w:t>Теореми косинусів і синусів.</w:t>
            </w:r>
          </w:p>
          <w:p w14:paraId="442ABD0F">
            <w:pPr>
              <w:spacing w:line="240" w:lineRule="auto"/>
              <w:ind w:left="60" w:right="60" w:hanging="15"/>
              <w:rPr>
                <w:rFonts w:ascii="Times New Roman" w:hAnsi="Times New Roman" w:cs="Times New Roman"/>
                <w:color w:val="auto"/>
                <w:sz w:val="28"/>
                <w:szCs w:val="28"/>
              </w:rPr>
            </w:pPr>
          </w:p>
          <w:p w14:paraId="36A3C55C">
            <w:pPr>
              <w:spacing w:line="240" w:lineRule="auto"/>
              <w:ind w:left="60" w:right="60" w:hanging="15"/>
              <w:rPr>
                <w:rFonts w:ascii="Times New Roman" w:hAnsi="Times New Roman" w:cs="Times New Roman"/>
                <w:b/>
                <w:color w:val="auto"/>
                <w:sz w:val="28"/>
                <w:szCs w:val="28"/>
                <w:highlight w:val="white"/>
              </w:rPr>
            </w:pPr>
            <w:r>
              <w:rPr>
                <w:rFonts w:ascii="Times New Roman" w:hAnsi="Times New Roman" w:cs="Times New Roman"/>
                <w:color w:val="auto"/>
                <w:sz w:val="28"/>
                <w:szCs w:val="28"/>
              </w:rPr>
              <w:t>Формули для знаходження площі трикутника</w:t>
            </w:r>
          </w:p>
        </w:tc>
      </w:tr>
      <w:tr w14:paraId="7960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3355B07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Тема 4. </w:t>
            </w:r>
            <w:r>
              <w:rPr>
                <w:rFonts w:ascii="Times New Roman" w:hAnsi="Times New Roman" w:cs="Times New Roman"/>
                <w:b/>
                <w:bCs/>
                <w:caps/>
                <w:color w:val="auto"/>
                <w:sz w:val="28"/>
                <w:szCs w:val="28"/>
              </w:rPr>
              <w:t>Правильні многокутники.</w:t>
            </w:r>
            <w:r>
              <w:rPr>
                <w:rFonts w:ascii="Times New Roman" w:hAnsi="Times New Roman" w:cs="Times New Roman"/>
                <w:b/>
                <w:bCs/>
                <w:color w:val="auto"/>
                <w:sz w:val="28"/>
                <w:szCs w:val="28"/>
              </w:rPr>
              <w:t xml:space="preserve"> </w:t>
            </w:r>
            <w:r>
              <w:rPr>
                <w:rFonts w:ascii="Times New Roman" w:hAnsi="Times New Roman" w:cs="Times New Roman"/>
                <w:b/>
                <w:bCs/>
                <w:caps/>
                <w:color w:val="auto"/>
                <w:sz w:val="28"/>
                <w:szCs w:val="28"/>
              </w:rPr>
              <w:t xml:space="preserve">Довжина кола. Площа круга </w:t>
            </w:r>
            <w:r>
              <w:rPr>
                <w:rFonts w:ascii="Times New Roman" w:hAnsi="Times New Roman" w:cs="Times New Roman"/>
                <w:b/>
                <w:bCs/>
                <w:color w:val="auto"/>
                <w:sz w:val="28"/>
                <w:szCs w:val="28"/>
              </w:rPr>
              <w:t>(</w:t>
            </w:r>
            <w:r>
              <w:rPr>
                <w:rFonts w:ascii="Times New Roman" w:hAnsi="Times New Roman" w:cs="Times New Roman"/>
                <w:bCs/>
                <w:i/>
                <w:color w:val="auto"/>
                <w:sz w:val="28"/>
                <w:szCs w:val="28"/>
              </w:rPr>
              <w:t>10 год</w:t>
            </w:r>
            <w:r>
              <w:rPr>
                <w:rFonts w:ascii="Times New Roman" w:hAnsi="Times New Roman" w:cs="Times New Roman"/>
                <w:bCs/>
                <w:color w:val="auto"/>
                <w:sz w:val="28"/>
                <w:szCs w:val="28"/>
              </w:rPr>
              <w:t>)</w:t>
            </w:r>
          </w:p>
        </w:tc>
      </w:tr>
      <w:tr w14:paraId="77B35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right w:val="single" w:color="000000" w:sz="8" w:space="0"/>
            </w:tcBorders>
            <w:tcMar>
              <w:top w:w="100" w:type="dxa"/>
              <w:left w:w="100" w:type="dxa"/>
              <w:bottom w:w="100" w:type="dxa"/>
              <w:right w:w="100" w:type="dxa"/>
            </w:tcMar>
          </w:tcPr>
          <w:p w14:paraId="0D34313E">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2651E2A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 приклади</w:t>
            </w:r>
            <w:r>
              <w:rPr>
                <w:rFonts w:ascii="Times New Roman" w:hAnsi="Times New Roman" w:cs="Times New Roman"/>
                <w:color w:val="auto"/>
                <w:sz w:val="28"/>
                <w:szCs w:val="28"/>
                <w:highlight w:val="white"/>
              </w:rPr>
              <w:t xml:space="preserve"> геометричних фігур, указаних у змісті;</w:t>
            </w:r>
          </w:p>
          <w:p w14:paraId="2E71E7C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пояснює</w:t>
            </w:r>
            <w:r>
              <w:rPr>
                <w:rFonts w:ascii="Times New Roman" w:hAnsi="Times New Roman" w:cs="Times New Roman"/>
                <w:color w:val="auto"/>
                <w:sz w:val="28"/>
                <w:szCs w:val="28"/>
                <w:highlight w:val="white"/>
              </w:rPr>
              <w:t>, що таке: дуга кола; довжина кола; площа круга; правильний многокутник (трикутник, чотирикутник, шестикутник), вписаний у коло та описаний навколо кола;</w:t>
            </w:r>
          </w:p>
          <w:p w14:paraId="62D6A552">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співвідносить </w:t>
            </w:r>
            <w:r>
              <w:rPr>
                <w:rFonts w:ascii="Times New Roman" w:hAnsi="Times New Roman" w:cs="Times New Roman"/>
                <w:color w:val="auto"/>
                <w:sz w:val="28"/>
                <w:szCs w:val="28"/>
                <w:highlight w:val="white"/>
              </w:rPr>
              <w:t>з об'єктами навколишньої дійсності вказані у змісті фігури;</w:t>
            </w:r>
          </w:p>
          <w:p w14:paraId="5F9132AC">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обчислює: </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color w:val="auto"/>
                <w:sz w:val="28"/>
                <w:szCs w:val="28"/>
                <w:highlight w:val="white"/>
              </w:rPr>
              <w:t xml:space="preserve">радіус кола за стороною вписаного в нього правильного многокутника (трикутника, чотирикутника, шестикутника) і навпаки; радіус кола за стороною описаного навколо нього правильного многокутника (трикутника, чотирикутника, шестикутника) і навпаки; довжини кола і дуги кола; площі круга, сектора </w:t>
            </w:r>
          </w:p>
          <w:p w14:paraId="6051E24C">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будує;</w:t>
            </w:r>
            <w:r>
              <w:rPr>
                <w:rFonts w:ascii="Times New Roman" w:hAnsi="Times New Roman" w:cs="Times New Roman"/>
                <w:color w:val="auto"/>
                <w:sz w:val="28"/>
                <w:szCs w:val="28"/>
                <w:highlight w:val="white"/>
              </w:rPr>
              <w:t xml:space="preserve"> правильний трикутник, чотирикутник, шестикутник;</w:t>
            </w:r>
          </w:p>
          <w:p w14:paraId="40637A7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застосовує</w:t>
            </w:r>
            <w:r>
              <w:rPr>
                <w:rFonts w:ascii="Times New Roman" w:hAnsi="Times New Roman" w:cs="Times New Roman"/>
                <w:color w:val="auto"/>
                <w:sz w:val="28"/>
                <w:szCs w:val="28"/>
                <w:highlight w:val="white"/>
              </w:rPr>
              <w:t xml:space="preserve"> вивчені означення, властивості та формули до розв’язування задач</w:t>
            </w:r>
          </w:p>
        </w:tc>
        <w:tc>
          <w:tcPr>
            <w:tcW w:w="4735" w:type="dxa"/>
            <w:tcBorders>
              <w:right w:val="single" w:color="000000" w:sz="8" w:space="0"/>
            </w:tcBorders>
            <w:tcMar>
              <w:top w:w="100" w:type="dxa"/>
              <w:left w:w="100" w:type="dxa"/>
              <w:bottom w:w="100" w:type="dxa"/>
              <w:right w:w="100" w:type="dxa"/>
            </w:tcMar>
          </w:tcPr>
          <w:p w14:paraId="435D0C0E">
            <w:pPr>
              <w:spacing w:line="240" w:lineRule="auto"/>
              <w:ind w:left="60" w:right="60"/>
              <w:rPr>
                <w:rFonts w:ascii="Times New Roman" w:hAnsi="Times New Roman" w:cs="Times New Roman"/>
                <w:b/>
                <w:color w:val="auto"/>
                <w:sz w:val="28"/>
                <w:szCs w:val="28"/>
                <w:highlight w:val="white"/>
              </w:rPr>
            </w:pPr>
          </w:p>
          <w:p w14:paraId="63A4481B">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Правильний многокутник, його види та властивості. </w:t>
            </w:r>
          </w:p>
          <w:p w14:paraId="306F178A">
            <w:pPr>
              <w:spacing w:line="240" w:lineRule="auto"/>
              <w:ind w:left="60" w:right="60"/>
              <w:rPr>
                <w:rFonts w:ascii="Times New Roman" w:hAnsi="Times New Roman" w:cs="Times New Roman"/>
                <w:color w:val="auto"/>
                <w:sz w:val="28"/>
                <w:szCs w:val="28"/>
                <w:highlight w:val="white"/>
              </w:rPr>
            </w:pPr>
          </w:p>
          <w:p w14:paraId="30E6D9E8">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Правильний многокутник, вписаний у коло та описаний навколо кола.</w:t>
            </w:r>
          </w:p>
          <w:p w14:paraId="23426BC8">
            <w:pPr>
              <w:spacing w:line="240" w:lineRule="auto"/>
              <w:ind w:left="60" w:right="60"/>
              <w:rPr>
                <w:rFonts w:ascii="Times New Roman" w:hAnsi="Times New Roman" w:cs="Times New Roman"/>
                <w:color w:val="auto"/>
                <w:sz w:val="28"/>
                <w:szCs w:val="28"/>
                <w:highlight w:val="white"/>
              </w:rPr>
            </w:pPr>
          </w:p>
          <w:p w14:paraId="462D8A9C">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Довжина кола. Довжина дуги кола.</w:t>
            </w:r>
          </w:p>
          <w:p w14:paraId="5C2B49ED">
            <w:pPr>
              <w:spacing w:line="240" w:lineRule="auto"/>
              <w:ind w:left="60" w:right="60"/>
              <w:rPr>
                <w:rFonts w:ascii="Times New Roman" w:hAnsi="Times New Roman" w:cs="Times New Roman"/>
                <w:color w:val="auto"/>
                <w:sz w:val="28"/>
                <w:szCs w:val="28"/>
                <w:highlight w:val="white"/>
              </w:rPr>
            </w:pPr>
          </w:p>
          <w:p w14:paraId="03BFFF5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Площа круга та його частин</w:t>
            </w:r>
          </w:p>
        </w:tc>
      </w:tr>
      <w:tr w14:paraId="0002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9639" w:type="dxa"/>
            <w:gridSpan w:val="2"/>
            <w:tcBorders>
              <w:top w:val="single" w:color="000000" w:sz="8" w:space="0"/>
              <w:left w:val="single" w:color="000000" w:sz="8" w:space="0"/>
              <w:bottom w:val="single" w:color="000000" w:sz="8" w:space="0"/>
              <w:right w:val="single" w:color="000000" w:sz="8" w:space="0"/>
            </w:tcBorders>
          </w:tcPr>
          <w:p w14:paraId="3557AFE0">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Тема 5. ГЕОМЕТРИЧНІ ПЕРЕМІЩЕННЯ</w:t>
            </w:r>
            <w:r>
              <w:rPr>
                <w:rFonts w:ascii="Times New Roman" w:hAnsi="Times New Roman" w:cs="Times New Roman"/>
                <w:color w:val="auto"/>
                <w:sz w:val="28"/>
                <w:szCs w:val="28"/>
                <w:highlight w:val="white"/>
              </w:rPr>
              <w:t xml:space="preserve"> </w:t>
            </w:r>
            <w:r>
              <w:rPr>
                <w:rFonts w:ascii="Times New Roman" w:hAnsi="Times New Roman" w:cs="Times New Roman"/>
                <w:color w:val="auto"/>
                <w:sz w:val="28"/>
                <w:szCs w:val="28"/>
              </w:rPr>
              <w:t>(</w:t>
            </w:r>
            <w:r>
              <w:rPr>
                <w:rFonts w:ascii="Times New Roman" w:hAnsi="Times New Roman" w:cs="Times New Roman"/>
                <w:i/>
                <w:color w:val="auto"/>
                <w:sz w:val="28"/>
                <w:szCs w:val="28"/>
              </w:rPr>
              <w:t>6 год</w:t>
            </w:r>
            <w:r>
              <w:rPr>
                <w:rFonts w:ascii="Times New Roman" w:hAnsi="Times New Roman" w:cs="Times New Roman"/>
                <w:color w:val="auto"/>
                <w:sz w:val="28"/>
                <w:szCs w:val="28"/>
              </w:rPr>
              <w:t>)</w:t>
            </w:r>
          </w:p>
        </w:tc>
      </w:tr>
      <w:tr w14:paraId="54D2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04" w:type="dxa"/>
            <w:tcBorders>
              <w:right w:val="single" w:color="000000" w:sz="8" w:space="0"/>
            </w:tcBorders>
            <w:tcMar>
              <w:top w:w="100" w:type="dxa"/>
              <w:left w:w="100" w:type="dxa"/>
              <w:bottom w:w="100" w:type="dxa"/>
              <w:right w:w="100" w:type="dxa"/>
            </w:tcMar>
          </w:tcPr>
          <w:p w14:paraId="0A69FD7D">
            <w:pPr>
              <w:spacing w:line="240" w:lineRule="auto"/>
              <w:ind w:left="60" w:right="60" w:firstLine="72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Учень/учениця:</w:t>
            </w:r>
          </w:p>
          <w:p w14:paraId="1F2E5ABD">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наводить приклади:</w:t>
            </w: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color w:val="auto"/>
                <w:sz w:val="28"/>
                <w:szCs w:val="28"/>
                <w:highlight w:val="white"/>
              </w:rPr>
              <w:t>фігур та їх образів при геометричних переміщеннях, указаних у змісті; фігур, які мають центр симетрії, вісь симетрії; рівних фігур;</w:t>
            </w:r>
          </w:p>
          <w:p w14:paraId="505BBA0E">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пояснює,</w:t>
            </w:r>
            <w:r>
              <w:rPr>
                <w:rFonts w:ascii="Times New Roman" w:hAnsi="Times New Roman" w:cs="Times New Roman"/>
                <w:color w:val="auto"/>
                <w:sz w:val="28"/>
                <w:szCs w:val="28"/>
                <w:highlight w:val="white"/>
              </w:rPr>
              <w:t xml:space="preserve"> що таке: переміщення (рух); образ фігури при геометричному переміщенні; фігура, симетрична даній відносно точки (прямої); симетрія відносно точки (прямої); паралельне перенесення; поворот; рівність фігур;</w:t>
            </w:r>
          </w:p>
          <w:p w14:paraId="69FD9110">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формулює:</w:t>
            </w:r>
          </w:p>
          <w:p w14:paraId="3FB2F4D2">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означення</w:t>
            </w:r>
            <w:r>
              <w:rPr>
                <w:rFonts w:ascii="Times New Roman" w:hAnsi="Times New Roman" w:cs="Times New Roman"/>
                <w:color w:val="auto"/>
                <w:sz w:val="28"/>
                <w:szCs w:val="28"/>
                <w:highlight w:val="white"/>
              </w:rPr>
              <w:t>:</w:t>
            </w:r>
            <w:r>
              <w:rPr>
                <w:rFonts w:ascii="Times New Roman" w:hAnsi="Times New Roman" w:cs="Times New Roman"/>
                <w:i/>
                <w:color w:val="auto"/>
                <w:sz w:val="28"/>
                <w:szCs w:val="28"/>
                <w:highlight w:val="white"/>
              </w:rPr>
              <w:t xml:space="preserve"> </w:t>
            </w:r>
            <w:r>
              <w:rPr>
                <w:rFonts w:ascii="Times New Roman" w:hAnsi="Times New Roman" w:cs="Times New Roman"/>
                <w:color w:val="auto"/>
                <w:sz w:val="28"/>
                <w:szCs w:val="28"/>
                <w:highlight w:val="white"/>
              </w:rPr>
              <w:t xml:space="preserve">рівних фігур; </w:t>
            </w:r>
          </w:p>
          <w:p w14:paraId="4F66E63E">
            <w:pPr>
              <w:spacing w:line="240" w:lineRule="auto"/>
              <w:ind w:left="560" w:right="60" w:hanging="28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w:t>
            </w:r>
            <w:r>
              <w:rPr>
                <w:rFonts w:ascii="Times New Roman" w:hAnsi="Times New Roman" w:eastAsia="Times New Roman" w:cs="Times New Roman"/>
                <w:color w:val="auto"/>
                <w:sz w:val="28"/>
                <w:szCs w:val="28"/>
                <w:highlight w:val="white"/>
              </w:rPr>
              <w:t xml:space="preserve">   </w:t>
            </w:r>
            <w:r>
              <w:rPr>
                <w:rFonts w:ascii="Times New Roman" w:hAnsi="Times New Roman" w:cs="Times New Roman"/>
                <w:i/>
                <w:color w:val="auto"/>
                <w:sz w:val="28"/>
                <w:szCs w:val="28"/>
                <w:highlight w:val="white"/>
              </w:rPr>
              <w:t>властивості</w:t>
            </w:r>
            <w:r>
              <w:rPr>
                <w:rFonts w:ascii="Times New Roman" w:hAnsi="Times New Roman" w:cs="Times New Roman"/>
                <w:color w:val="auto"/>
                <w:sz w:val="28"/>
                <w:szCs w:val="28"/>
                <w:highlight w:val="white"/>
              </w:rPr>
              <w:t>: переміщення; симетрії відносно точки (прямої); паралельного перенесення; повороту;</w:t>
            </w:r>
          </w:p>
          <w:p w14:paraId="399BBD1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зображує і знаходить</w:t>
            </w:r>
            <w:r>
              <w:rPr>
                <w:rFonts w:ascii="Times New Roman" w:hAnsi="Times New Roman" w:cs="Times New Roman"/>
                <w:color w:val="auto"/>
                <w:sz w:val="28"/>
                <w:szCs w:val="28"/>
                <w:highlight w:val="white"/>
              </w:rPr>
              <w:t xml:space="preserve"> на малюнках фігури, в які переходять дані фігури при різних видах переміщень;</w:t>
            </w:r>
          </w:p>
          <w:p w14:paraId="26B178F7">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 xml:space="preserve">обґрунтовує: </w:t>
            </w:r>
            <w:r>
              <w:rPr>
                <w:rFonts w:ascii="Times New Roman" w:hAnsi="Times New Roman" w:cs="Times New Roman"/>
                <w:color w:val="auto"/>
                <w:sz w:val="28"/>
                <w:szCs w:val="28"/>
                <w:highlight w:val="white"/>
              </w:rPr>
              <w:t>симетричність</w:t>
            </w:r>
            <w:r>
              <w:rPr>
                <w:rFonts w:ascii="Times New Roman" w:hAnsi="Times New Roman" w:cs="Times New Roman"/>
                <w:b/>
                <w:color w:val="auto"/>
                <w:sz w:val="28"/>
                <w:szCs w:val="28"/>
                <w:highlight w:val="white"/>
              </w:rPr>
              <w:t xml:space="preserve"> </w:t>
            </w:r>
            <w:r>
              <w:rPr>
                <w:rFonts w:ascii="Times New Roman" w:hAnsi="Times New Roman" w:cs="Times New Roman"/>
                <w:color w:val="auto"/>
                <w:sz w:val="28"/>
                <w:szCs w:val="28"/>
                <w:highlight w:val="white"/>
              </w:rPr>
              <w:t>двох фігур відносно точки (прямої); наявність у фігури центра (осі) симетрії; рівність фігур із застосуванням переміщень;</w:t>
            </w:r>
          </w:p>
          <w:p w14:paraId="017A6743">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t>застосовує</w:t>
            </w:r>
            <w:r>
              <w:rPr>
                <w:rFonts w:ascii="Times New Roman" w:hAnsi="Times New Roman" w:cs="Times New Roman"/>
                <w:color w:val="auto"/>
                <w:sz w:val="28"/>
                <w:szCs w:val="28"/>
                <w:highlight w:val="white"/>
              </w:rPr>
              <w:t xml:space="preserve"> вивчені означення й властивості до розв’язування задач</w:t>
            </w:r>
          </w:p>
        </w:tc>
        <w:tc>
          <w:tcPr>
            <w:tcW w:w="4735" w:type="dxa"/>
            <w:tcBorders>
              <w:right w:val="single" w:color="000000" w:sz="8" w:space="0"/>
            </w:tcBorders>
            <w:tcMar>
              <w:top w:w="100" w:type="dxa"/>
              <w:left w:w="100" w:type="dxa"/>
              <w:bottom w:w="100" w:type="dxa"/>
              <w:right w:w="100" w:type="dxa"/>
            </w:tcMar>
          </w:tcPr>
          <w:p w14:paraId="4FD82C69">
            <w:pPr>
              <w:spacing w:line="240" w:lineRule="auto"/>
              <w:ind w:left="60" w:right="60"/>
              <w:rPr>
                <w:rFonts w:ascii="Times New Roman" w:hAnsi="Times New Roman" w:cs="Times New Roman"/>
                <w:b/>
                <w:color w:val="auto"/>
                <w:sz w:val="28"/>
                <w:szCs w:val="28"/>
                <w:highlight w:val="white"/>
              </w:rPr>
            </w:pPr>
          </w:p>
          <w:p w14:paraId="332CA564">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Переміщення (рух) та його властивості.</w:t>
            </w:r>
          </w:p>
          <w:p w14:paraId="52D1CC30">
            <w:pPr>
              <w:spacing w:line="240" w:lineRule="auto"/>
              <w:ind w:left="60" w:right="60"/>
              <w:rPr>
                <w:rFonts w:ascii="Times New Roman" w:hAnsi="Times New Roman" w:cs="Times New Roman"/>
                <w:color w:val="auto"/>
                <w:sz w:val="28"/>
                <w:szCs w:val="28"/>
                <w:highlight w:val="white"/>
              </w:rPr>
            </w:pPr>
          </w:p>
          <w:p w14:paraId="559325A1">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Симетрія відносно точки і прямої, поворот, паралельне перенесення.</w:t>
            </w:r>
          </w:p>
          <w:p w14:paraId="09176350">
            <w:pPr>
              <w:spacing w:line="240" w:lineRule="auto"/>
              <w:ind w:left="60" w:right="60"/>
              <w:rPr>
                <w:rFonts w:ascii="Times New Roman" w:hAnsi="Times New Roman" w:cs="Times New Roman"/>
                <w:color w:val="auto"/>
                <w:sz w:val="28"/>
                <w:szCs w:val="28"/>
                <w:highlight w:val="white"/>
              </w:rPr>
            </w:pPr>
          </w:p>
          <w:p w14:paraId="6149B50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Рівність фігур</w:t>
            </w:r>
          </w:p>
          <w:p w14:paraId="63B29386">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yellow"/>
              </w:rPr>
              <w:t xml:space="preserve"> </w:t>
            </w:r>
          </w:p>
        </w:tc>
      </w:tr>
      <w:tr w14:paraId="7F36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9639" w:type="dxa"/>
            <w:gridSpan w:val="2"/>
            <w:tcBorders>
              <w:bottom w:val="single" w:color="000000" w:sz="8" w:space="0"/>
              <w:right w:val="single" w:color="000000" w:sz="8" w:space="0"/>
            </w:tcBorders>
            <w:tcMar>
              <w:top w:w="100" w:type="dxa"/>
              <w:left w:w="100" w:type="dxa"/>
              <w:bottom w:w="100" w:type="dxa"/>
              <w:right w:w="100" w:type="dxa"/>
            </w:tcMar>
          </w:tcPr>
          <w:p w14:paraId="27E7B5CC">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bCs/>
                <w:color w:val="auto"/>
                <w:spacing w:val="3"/>
                <w:sz w:val="28"/>
                <w:szCs w:val="28"/>
                <w:shd w:val="clear" w:color="auto" w:fill="FFFFFF"/>
              </w:rPr>
              <w:t>Розв’язує задачі на</w:t>
            </w:r>
            <w:r>
              <w:rPr>
                <w:rFonts w:ascii="Times New Roman" w:hAnsi="Times New Roman" w:cs="Times New Roman"/>
                <w:color w:val="auto"/>
                <w:spacing w:val="3"/>
                <w:sz w:val="28"/>
                <w:szCs w:val="28"/>
                <w:shd w:val="clear" w:color="auto" w:fill="FFFFFF"/>
              </w:rPr>
              <w:t>: знаходження невідомих елементів реальних об’єктів; знаходження площ реальних об’єктів, покриття площини правильними многокутниками тощо</w:t>
            </w:r>
          </w:p>
        </w:tc>
      </w:tr>
    </w:tbl>
    <w:p w14:paraId="574872EC">
      <w:pPr>
        <w:spacing w:line="240" w:lineRule="auto"/>
        <w:rPr>
          <w:rFonts w:ascii="Times New Roman" w:hAnsi="Times New Roman" w:cs="Times New Roman"/>
          <w:color w:val="auto"/>
          <w:sz w:val="28"/>
          <w:szCs w:val="28"/>
          <w:highlight w:val="white"/>
        </w:rPr>
      </w:pPr>
    </w:p>
    <w:sectPr>
      <w:footerReference r:id="rId5" w:type="default"/>
      <w:pgSz w:w="11909" w:h="16834"/>
      <w:pgMar w:top="1440" w:right="567" w:bottom="1440" w:left="1418" w:header="0"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086925"/>
      <w:docPartObj>
        <w:docPartGallery w:val="AutoText"/>
      </w:docPartObj>
    </w:sdtPr>
    <w:sdtContent>
      <w:p w14:paraId="06EBF288">
        <w:pPr>
          <w:pStyle w:val="13"/>
          <w:jc w:val="center"/>
        </w:pPr>
        <w:r>
          <w:fldChar w:fldCharType="begin"/>
        </w:r>
        <w:r>
          <w:instrText xml:space="preserve">PAGE   \* MERGEFORMAT</w:instrText>
        </w:r>
        <w:r>
          <w:fldChar w:fldCharType="separate"/>
        </w:r>
        <w:r>
          <w:rPr>
            <w:lang w:val="ru-RU"/>
          </w:rPr>
          <w:t>1</w:t>
        </w:r>
        <w:r>
          <w:fldChar w:fldCharType="end"/>
        </w:r>
      </w:p>
    </w:sdtContent>
  </w:sdt>
  <w:p w14:paraId="24C40E5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76" w:lineRule="auto"/>
      </w:pPr>
      <w:r>
        <w:separator/>
      </w:r>
    </w:p>
  </w:footnote>
  <w:footnote w:type="continuationSeparator" w:id="5">
    <w:p>
      <w:pPr>
        <w:spacing w:line="276" w:lineRule="auto"/>
      </w:pPr>
      <w:r>
        <w:continuationSeparator/>
      </w:r>
    </w:p>
  </w:footnote>
  <w:footnote w:id="0">
    <w:p w14:paraId="00D04FCA">
      <w:pPr>
        <w:pStyle w:val="15"/>
      </w:pPr>
      <w:r>
        <w:rPr>
          <w:rStyle w:val="14"/>
        </w:rPr>
        <w:footnoteRef/>
      </w:r>
      <w:r>
        <w:t xml:space="preserve"> Програма затверджена Наказом Міністерства освіти і науки України від 07.06.2017 № 804</w:t>
      </w:r>
    </w:p>
    <w:p w14:paraId="5291A138">
      <w:pPr>
        <w:pStyle w:val="15"/>
      </w:pPr>
    </w:p>
  </w:footnote>
  <w:footnote w:id="1">
    <w:p w14:paraId="37E2BAF6">
      <w:pPr>
        <w:spacing w:line="240" w:lineRule="auto"/>
        <w:rPr>
          <w:sz w:val="20"/>
          <w:szCs w:val="20"/>
        </w:rPr>
      </w:pPr>
      <w:r>
        <w:rPr>
          <w:vertAlign w:val="superscript"/>
        </w:rPr>
        <w:footnoteRef/>
      </w:r>
      <w:r>
        <w:rPr>
          <w:sz w:val="20"/>
          <w:szCs w:val="20"/>
        </w:rPr>
        <w:t xml:space="preserve"> Під «ага-ефектом» мається на увазі спільне вирішення задачі з ефектом раптового здогаду, «еврики».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FE1"/>
    <w:multiLevelType w:val="multilevel"/>
    <w:tmpl w:val="10DF7FE1"/>
    <w:lvl w:ilvl="0" w:tentative="0">
      <w:start w:val="1"/>
      <w:numFmt w:val="bullet"/>
      <w:lvlText w:val=""/>
      <w:lvlJc w:val="left"/>
      <w:pPr>
        <w:ind w:left="2291" w:hanging="360"/>
      </w:pPr>
      <w:rPr>
        <w:rFonts w:hint="default" w:ascii="Symbol" w:hAnsi="Symbol"/>
      </w:rPr>
    </w:lvl>
    <w:lvl w:ilvl="1" w:tentative="0">
      <w:start w:val="1"/>
      <w:numFmt w:val="bullet"/>
      <w:lvlText w:val="o"/>
      <w:lvlJc w:val="left"/>
      <w:pPr>
        <w:ind w:left="3011" w:hanging="360"/>
      </w:pPr>
      <w:rPr>
        <w:rFonts w:hint="default" w:ascii="Courier New" w:hAnsi="Courier New" w:cs="Courier New"/>
      </w:rPr>
    </w:lvl>
    <w:lvl w:ilvl="2" w:tentative="0">
      <w:start w:val="1"/>
      <w:numFmt w:val="bullet"/>
      <w:lvlText w:val=""/>
      <w:lvlJc w:val="left"/>
      <w:pPr>
        <w:ind w:left="3731" w:hanging="360"/>
      </w:pPr>
      <w:rPr>
        <w:rFonts w:hint="default" w:ascii="Wingdings" w:hAnsi="Wingdings"/>
      </w:rPr>
    </w:lvl>
    <w:lvl w:ilvl="3" w:tentative="0">
      <w:start w:val="1"/>
      <w:numFmt w:val="bullet"/>
      <w:lvlText w:val=""/>
      <w:lvlJc w:val="left"/>
      <w:pPr>
        <w:ind w:left="4451" w:hanging="360"/>
      </w:pPr>
      <w:rPr>
        <w:rFonts w:hint="default" w:ascii="Symbol" w:hAnsi="Symbol"/>
      </w:rPr>
    </w:lvl>
    <w:lvl w:ilvl="4" w:tentative="0">
      <w:start w:val="1"/>
      <w:numFmt w:val="bullet"/>
      <w:lvlText w:val="o"/>
      <w:lvlJc w:val="left"/>
      <w:pPr>
        <w:ind w:left="5171" w:hanging="360"/>
      </w:pPr>
      <w:rPr>
        <w:rFonts w:hint="default" w:ascii="Courier New" w:hAnsi="Courier New" w:cs="Courier New"/>
      </w:rPr>
    </w:lvl>
    <w:lvl w:ilvl="5" w:tentative="0">
      <w:start w:val="1"/>
      <w:numFmt w:val="bullet"/>
      <w:lvlText w:val=""/>
      <w:lvlJc w:val="left"/>
      <w:pPr>
        <w:ind w:left="5891" w:hanging="360"/>
      </w:pPr>
      <w:rPr>
        <w:rFonts w:hint="default" w:ascii="Wingdings" w:hAnsi="Wingdings"/>
      </w:rPr>
    </w:lvl>
    <w:lvl w:ilvl="6" w:tentative="0">
      <w:start w:val="1"/>
      <w:numFmt w:val="bullet"/>
      <w:lvlText w:val=""/>
      <w:lvlJc w:val="left"/>
      <w:pPr>
        <w:ind w:left="6611" w:hanging="360"/>
      </w:pPr>
      <w:rPr>
        <w:rFonts w:hint="default" w:ascii="Symbol" w:hAnsi="Symbol"/>
      </w:rPr>
    </w:lvl>
    <w:lvl w:ilvl="7" w:tentative="0">
      <w:start w:val="1"/>
      <w:numFmt w:val="bullet"/>
      <w:lvlText w:val="o"/>
      <w:lvlJc w:val="left"/>
      <w:pPr>
        <w:ind w:left="7331" w:hanging="360"/>
      </w:pPr>
      <w:rPr>
        <w:rFonts w:hint="default" w:ascii="Courier New" w:hAnsi="Courier New" w:cs="Courier New"/>
      </w:rPr>
    </w:lvl>
    <w:lvl w:ilvl="8" w:tentative="0">
      <w:start w:val="1"/>
      <w:numFmt w:val="bullet"/>
      <w:lvlText w:val=""/>
      <w:lvlJc w:val="left"/>
      <w:pPr>
        <w:ind w:left="8051" w:hanging="360"/>
      </w:pPr>
      <w:rPr>
        <w:rFonts w:hint="default" w:ascii="Wingdings" w:hAnsi="Wingdings"/>
      </w:rPr>
    </w:lvl>
  </w:abstractNum>
  <w:abstractNum w:abstractNumId="1">
    <w:nsid w:val="5ED9786E"/>
    <w:multiLevelType w:val="multilevel"/>
    <w:tmpl w:val="5ED9786E"/>
    <w:lvl w:ilvl="0" w:tentative="0">
      <w:start w:val="1"/>
      <w:numFmt w:val="bullet"/>
      <w:lvlText w:val=""/>
      <w:lvlJc w:val="left"/>
      <w:pPr>
        <w:ind w:left="2291" w:hanging="360"/>
      </w:pPr>
      <w:rPr>
        <w:rFonts w:hint="default" w:ascii="Symbol" w:hAnsi="Symbol"/>
      </w:rPr>
    </w:lvl>
    <w:lvl w:ilvl="1" w:tentative="0">
      <w:start w:val="1"/>
      <w:numFmt w:val="bullet"/>
      <w:lvlText w:val="o"/>
      <w:lvlJc w:val="left"/>
      <w:pPr>
        <w:ind w:left="3011" w:hanging="360"/>
      </w:pPr>
      <w:rPr>
        <w:rFonts w:hint="default" w:ascii="Courier New" w:hAnsi="Courier New" w:cs="Courier New"/>
      </w:rPr>
    </w:lvl>
    <w:lvl w:ilvl="2" w:tentative="0">
      <w:start w:val="1"/>
      <w:numFmt w:val="bullet"/>
      <w:lvlText w:val=""/>
      <w:lvlJc w:val="left"/>
      <w:pPr>
        <w:ind w:left="3731" w:hanging="360"/>
      </w:pPr>
      <w:rPr>
        <w:rFonts w:hint="default" w:ascii="Wingdings" w:hAnsi="Wingdings"/>
      </w:rPr>
    </w:lvl>
    <w:lvl w:ilvl="3" w:tentative="0">
      <w:start w:val="1"/>
      <w:numFmt w:val="bullet"/>
      <w:lvlText w:val=""/>
      <w:lvlJc w:val="left"/>
      <w:pPr>
        <w:ind w:left="4451" w:hanging="360"/>
      </w:pPr>
      <w:rPr>
        <w:rFonts w:hint="default" w:ascii="Symbol" w:hAnsi="Symbol"/>
      </w:rPr>
    </w:lvl>
    <w:lvl w:ilvl="4" w:tentative="0">
      <w:start w:val="1"/>
      <w:numFmt w:val="bullet"/>
      <w:lvlText w:val="o"/>
      <w:lvlJc w:val="left"/>
      <w:pPr>
        <w:ind w:left="5171" w:hanging="360"/>
      </w:pPr>
      <w:rPr>
        <w:rFonts w:hint="default" w:ascii="Courier New" w:hAnsi="Courier New" w:cs="Courier New"/>
      </w:rPr>
    </w:lvl>
    <w:lvl w:ilvl="5" w:tentative="0">
      <w:start w:val="1"/>
      <w:numFmt w:val="bullet"/>
      <w:lvlText w:val=""/>
      <w:lvlJc w:val="left"/>
      <w:pPr>
        <w:ind w:left="5891" w:hanging="360"/>
      </w:pPr>
      <w:rPr>
        <w:rFonts w:hint="default" w:ascii="Wingdings" w:hAnsi="Wingdings"/>
      </w:rPr>
    </w:lvl>
    <w:lvl w:ilvl="6" w:tentative="0">
      <w:start w:val="1"/>
      <w:numFmt w:val="bullet"/>
      <w:lvlText w:val=""/>
      <w:lvlJc w:val="left"/>
      <w:pPr>
        <w:ind w:left="6611" w:hanging="360"/>
      </w:pPr>
      <w:rPr>
        <w:rFonts w:hint="default" w:ascii="Symbol" w:hAnsi="Symbol"/>
      </w:rPr>
    </w:lvl>
    <w:lvl w:ilvl="7" w:tentative="0">
      <w:start w:val="1"/>
      <w:numFmt w:val="bullet"/>
      <w:lvlText w:val="o"/>
      <w:lvlJc w:val="left"/>
      <w:pPr>
        <w:ind w:left="7331" w:hanging="360"/>
      </w:pPr>
      <w:rPr>
        <w:rFonts w:hint="default" w:ascii="Courier New" w:hAnsi="Courier New" w:cs="Courier New"/>
      </w:rPr>
    </w:lvl>
    <w:lvl w:ilvl="8" w:tentative="0">
      <w:start w:val="1"/>
      <w:numFmt w:val="bullet"/>
      <w:lvlText w:val=""/>
      <w:lvlJc w:val="left"/>
      <w:pPr>
        <w:ind w:left="8051"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20"/>
  <w:hyphenationZone w:val="425"/>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EF"/>
    <w:rsid w:val="0000358F"/>
    <w:rsid w:val="00007A86"/>
    <w:rsid w:val="00034982"/>
    <w:rsid w:val="00042644"/>
    <w:rsid w:val="00044708"/>
    <w:rsid w:val="000516EF"/>
    <w:rsid w:val="00084A54"/>
    <w:rsid w:val="0009234F"/>
    <w:rsid w:val="00097734"/>
    <w:rsid w:val="000A6E0E"/>
    <w:rsid w:val="000C7800"/>
    <w:rsid w:val="000D2F90"/>
    <w:rsid w:val="000D621F"/>
    <w:rsid w:val="000F0418"/>
    <w:rsid w:val="00102AB6"/>
    <w:rsid w:val="00106BDC"/>
    <w:rsid w:val="00122C73"/>
    <w:rsid w:val="00126ECD"/>
    <w:rsid w:val="00127847"/>
    <w:rsid w:val="00152ED0"/>
    <w:rsid w:val="00166C35"/>
    <w:rsid w:val="001748A5"/>
    <w:rsid w:val="001A1A7B"/>
    <w:rsid w:val="001A2453"/>
    <w:rsid w:val="001A4E74"/>
    <w:rsid w:val="001C0F4F"/>
    <w:rsid w:val="001C714A"/>
    <w:rsid w:val="001D2386"/>
    <w:rsid w:val="001E6A0C"/>
    <w:rsid w:val="001F241F"/>
    <w:rsid w:val="001F5859"/>
    <w:rsid w:val="0020184C"/>
    <w:rsid w:val="00226E69"/>
    <w:rsid w:val="002279FE"/>
    <w:rsid w:val="00231D78"/>
    <w:rsid w:val="00231EE6"/>
    <w:rsid w:val="00250593"/>
    <w:rsid w:val="00282DC1"/>
    <w:rsid w:val="002A3D23"/>
    <w:rsid w:val="002A4A46"/>
    <w:rsid w:val="002A7C2E"/>
    <w:rsid w:val="002B19A8"/>
    <w:rsid w:val="002B6B3B"/>
    <w:rsid w:val="002C3158"/>
    <w:rsid w:val="002D5E14"/>
    <w:rsid w:val="0030202E"/>
    <w:rsid w:val="00312348"/>
    <w:rsid w:val="0031562C"/>
    <w:rsid w:val="003173B6"/>
    <w:rsid w:val="00341714"/>
    <w:rsid w:val="003445F4"/>
    <w:rsid w:val="00367968"/>
    <w:rsid w:val="00372A75"/>
    <w:rsid w:val="003953CA"/>
    <w:rsid w:val="003A33A8"/>
    <w:rsid w:val="003D4948"/>
    <w:rsid w:val="003F28D1"/>
    <w:rsid w:val="003F6FAB"/>
    <w:rsid w:val="003F7FE4"/>
    <w:rsid w:val="004040B1"/>
    <w:rsid w:val="0040725B"/>
    <w:rsid w:val="00410FFF"/>
    <w:rsid w:val="0044179E"/>
    <w:rsid w:val="004568A5"/>
    <w:rsid w:val="004635C8"/>
    <w:rsid w:val="004651E4"/>
    <w:rsid w:val="00475A07"/>
    <w:rsid w:val="00486BBE"/>
    <w:rsid w:val="004A6A44"/>
    <w:rsid w:val="004D1D93"/>
    <w:rsid w:val="004D7960"/>
    <w:rsid w:val="004E06D6"/>
    <w:rsid w:val="004E3766"/>
    <w:rsid w:val="005113D7"/>
    <w:rsid w:val="00511585"/>
    <w:rsid w:val="00514007"/>
    <w:rsid w:val="005168F0"/>
    <w:rsid w:val="00521062"/>
    <w:rsid w:val="005460A2"/>
    <w:rsid w:val="005463E8"/>
    <w:rsid w:val="00564172"/>
    <w:rsid w:val="005667AF"/>
    <w:rsid w:val="00570665"/>
    <w:rsid w:val="00594E8A"/>
    <w:rsid w:val="00595E09"/>
    <w:rsid w:val="005C2248"/>
    <w:rsid w:val="005C30B6"/>
    <w:rsid w:val="005D065F"/>
    <w:rsid w:val="005D5243"/>
    <w:rsid w:val="005E132E"/>
    <w:rsid w:val="006215CB"/>
    <w:rsid w:val="00623B03"/>
    <w:rsid w:val="0063151D"/>
    <w:rsid w:val="0063311D"/>
    <w:rsid w:val="00635E3F"/>
    <w:rsid w:val="0063603B"/>
    <w:rsid w:val="00656130"/>
    <w:rsid w:val="00666828"/>
    <w:rsid w:val="00674A5E"/>
    <w:rsid w:val="00686668"/>
    <w:rsid w:val="00693261"/>
    <w:rsid w:val="006A1E38"/>
    <w:rsid w:val="006B4B5E"/>
    <w:rsid w:val="006D2E7D"/>
    <w:rsid w:val="006D4B04"/>
    <w:rsid w:val="006D7337"/>
    <w:rsid w:val="006E2493"/>
    <w:rsid w:val="006F58A1"/>
    <w:rsid w:val="006F6011"/>
    <w:rsid w:val="00741AD4"/>
    <w:rsid w:val="0075221E"/>
    <w:rsid w:val="00753A4B"/>
    <w:rsid w:val="00785C12"/>
    <w:rsid w:val="00785FFB"/>
    <w:rsid w:val="0079342B"/>
    <w:rsid w:val="0079386F"/>
    <w:rsid w:val="007A07BE"/>
    <w:rsid w:val="007A5F3D"/>
    <w:rsid w:val="007A7924"/>
    <w:rsid w:val="007D2102"/>
    <w:rsid w:val="007E01C5"/>
    <w:rsid w:val="007E7805"/>
    <w:rsid w:val="007F2F2D"/>
    <w:rsid w:val="007F4153"/>
    <w:rsid w:val="00803C96"/>
    <w:rsid w:val="008103C7"/>
    <w:rsid w:val="008259A5"/>
    <w:rsid w:val="00834F36"/>
    <w:rsid w:val="00843B5B"/>
    <w:rsid w:val="00850317"/>
    <w:rsid w:val="00855F8E"/>
    <w:rsid w:val="00882749"/>
    <w:rsid w:val="008902F8"/>
    <w:rsid w:val="00890A03"/>
    <w:rsid w:val="00893D85"/>
    <w:rsid w:val="00895A2A"/>
    <w:rsid w:val="00897D05"/>
    <w:rsid w:val="008B0D6E"/>
    <w:rsid w:val="008B2EA4"/>
    <w:rsid w:val="008D4D9D"/>
    <w:rsid w:val="008E20B1"/>
    <w:rsid w:val="008E6FAA"/>
    <w:rsid w:val="00900E6D"/>
    <w:rsid w:val="009038EA"/>
    <w:rsid w:val="009055DA"/>
    <w:rsid w:val="0091414F"/>
    <w:rsid w:val="00916F59"/>
    <w:rsid w:val="0095399F"/>
    <w:rsid w:val="00963FCA"/>
    <w:rsid w:val="00964123"/>
    <w:rsid w:val="00981A19"/>
    <w:rsid w:val="009916C8"/>
    <w:rsid w:val="00993CFE"/>
    <w:rsid w:val="009942E7"/>
    <w:rsid w:val="00994345"/>
    <w:rsid w:val="0099662E"/>
    <w:rsid w:val="009A4CF8"/>
    <w:rsid w:val="009B1B58"/>
    <w:rsid w:val="009B1CC4"/>
    <w:rsid w:val="009B4F44"/>
    <w:rsid w:val="009B5C5E"/>
    <w:rsid w:val="009C149A"/>
    <w:rsid w:val="009D7F17"/>
    <w:rsid w:val="009E07CC"/>
    <w:rsid w:val="009E39D6"/>
    <w:rsid w:val="009E6257"/>
    <w:rsid w:val="009F07F8"/>
    <w:rsid w:val="009F720B"/>
    <w:rsid w:val="00A30A86"/>
    <w:rsid w:val="00A37954"/>
    <w:rsid w:val="00A665AA"/>
    <w:rsid w:val="00A91912"/>
    <w:rsid w:val="00AB2128"/>
    <w:rsid w:val="00AB5A32"/>
    <w:rsid w:val="00AC0F75"/>
    <w:rsid w:val="00AC5471"/>
    <w:rsid w:val="00AE5EFD"/>
    <w:rsid w:val="00AF6AC5"/>
    <w:rsid w:val="00B0143E"/>
    <w:rsid w:val="00B25C75"/>
    <w:rsid w:val="00B26D79"/>
    <w:rsid w:val="00B27BCE"/>
    <w:rsid w:val="00B3397C"/>
    <w:rsid w:val="00B3417B"/>
    <w:rsid w:val="00B37074"/>
    <w:rsid w:val="00B41F78"/>
    <w:rsid w:val="00B43078"/>
    <w:rsid w:val="00B442F2"/>
    <w:rsid w:val="00B63F95"/>
    <w:rsid w:val="00B666DB"/>
    <w:rsid w:val="00B920CB"/>
    <w:rsid w:val="00B9580C"/>
    <w:rsid w:val="00B95937"/>
    <w:rsid w:val="00BA560B"/>
    <w:rsid w:val="00BB5ED0"/>
    <w:rsid w:val="00BB72AE"/>
    <w:rsid w:val="00BD72C1"/>
    <w:rsid w:val="00BE2076"/>
    <w:rsid w:val="00C022E5"/>
    <w:rsid w:val="00C03912"/>
    <w:rsid w:val="00C12F11"/>
    <w:rsid w:val="00C46B78"/>
    <w:rsid w:val="00C70714"/>
    <w:rsid w:val="00C72B4A"/>
    <w:rsid w:val="00C805F2"/>
    <w:rsid w:val="00C85048"/>
    <w:rsid w:val="00C93C28"/>
    <w:rsid w:val="00C97BE7"/>
    <w:rsid w:val="00CA3B10"/>
    <w:rsid w:val="00CA4C4F"/>
    <w:rsid w:val="00CC23EF"/>
    <w:rsid w:val="00CF3920"/>
    <w:rsid w:val="00CF72DC"/>
    <w:rsid w:val="00D07776"/>
    <w:rsid w:val="00D07D52"/>
    <w:rsid w:val="00D273B6"/>
    <w:rsid w:val="00D40D76"/>
    <w:rsid w:val="00D64020"/>
    <w:rsid w:val="00D77E15"/>
    <w:rsid w:val="00D80686"/>
    <w:rsid w:val="00D9042E"/>
    <w:rsid w:val="00DA11A9"/>
    <w:rsid w:val="00DA35F4"/>
    <w:rsid w:val="00DB77A2"/>
    <w:rsid w:val="00DB7ABE"/>
    <w:rsid w:val="00DE1C45"/>
    <w:rsid w:val="00DF4F11"/>
    <w:rsid w:val="00E01EC7"/>
    <w:rsid w:val="00E11EC1"/>
    <w:rsid w:val="00E13034"/>
    <w:rsid w:val="00E9208C"/>
    <w:rsid w:val="00E96F8F"/>
    <w:rsid w:val="00EC24E2"/>
    <w:rsid w:val="00ED220F"/>
    <w:rsid w:val="00EE3731"/>
    <w:rsid w:val="00EF10D1"/>
    <w:rsid w:val="00EF3497"/>
    <w:rsid w:val="00EF7553"/>
    <w:rsid w:val="00F01013"/>
    <w:rsid w:val="00F015BF"/>
    <w:rsid w:val="00F02E13"/>
    <w:rsid w:val="00F03A5A"/>
    <w:rsid w:val="00F12AB0"/>
    <w:rsid w:val="00F14862"/>
    <w:rsid w:val="00F21C5F"/>
    <w:rsid w:val="00F24D51"/>
    <w:rsid w:val="00F60ECE"/>
    <w:rsid w:val="00F62404"/>
    <w:rsid w:val="00F73A80"/>
    <w:rsid w:val="00F83A9D"/>
    <w:rsid w:val="00F85921"/>
    <w:rsid w:val="00F96F57"/>
    <w:rsid w:val="00FA3AC4"/>
    <w:rsid w:val="00FB4897"/>
    <w:rsid w:val="00FC6108"/>
    <w:rsid w:val="00FD58F6"/>
    <w:rsid w:val="00FE2625"/>
    <w:rsid w:val="76CF1D3A"/>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color w:val="000000"/>
      <w:sz w:val="22"/>
      <w:szCs w:val="22"/>
      <w:lang w:val="uk-UA" w:eastAsia="uk-UA" w:bidi="ar-SA"/>
    </w:rPr>
  </w:style>
  <w:style w:type="paragraph" w:styleId="2">
    <w:name w:val="heading 1"/>
    <w:basedOn w:val="1"/>
    <w:next w:val="1"/>
    <w:qFormat/>
    <w:uiPriority w:val="0"/>
    <w:pPr>
      <w:keepNext/>
      <w:keepLines/>
      <w:spacing w:before="400" w:after="120"/>
      <w:contextualSpacing/>
      <w:outlineLvl w:val="0"/>
    </w:pPr>
    <w:rPr>
      <w:sz w:val="40"/>
      <w:szCs w:val="40"/>
    </w:rPr>
  </w:style>
  <w:style w:type="paragraph" w:styleId="3">
    <w:name w:val="heading 2"/>
    <w:basedOn w:val="1"/>
    <w:next w:val="1"/>
    <w:uiPriority w:val="0"/>
    <w:pPr>
      <w:keepNext/>
      <w:keepLines/>
      <w:spacing w:before="360" w:after="120"/>
      <w:contextualSpacing/>
      <w:outlineLvl w:val="1"/>
    </w:pPr>
    <w:rPr>
      <w:sz w:val="32"/>
      <w:szCs w:val="32"/>
    </w:rPr>
  </w:style>
  <w:style w:type="paragraph" w:styleId="4">
    <w:name w:val="heading 3"/>
    <w:basedOn w:val="1"/>
    <w:next w:val="1"/>
    <w:uiPriority w:val="0"/>
    <w:pPr>
      <w:keepNext/>
      <w:keepLines/>
      <w:spacing w:before="320" w:after="80"/>
      <w:contextualSpacing/>
      <w:outlineLvl w:val="2"/>
    </w:pPr>
    <w:rPr>
      <w:color w:val="434343"/>
      <w:sz w:val="28"/>
      <w:szCs w:val="28"/>
    </w:rPr>
  </w:style>
  <w:style w:type="paragraph" w:styleId="5">
    <w:name w:val="heading 4"/>
    <w:basedOn w:val="1"/>
    <w:next w:val="1"/>
    <w:qFormat/>
    <w:uiPriority w:val="0"/>
    <w:pPr>
      <w:keepNext/>
      <w:keepLines/>
      <w:spacing w:before="280" w:after="80"/>
      <w:contextualSpacing/>
      <w:outlineLvl w:val="3"/>
    </w:pPr>
    <w:rPr>
      <w:color w:val="666666"/>
      <w:sz w:val="24"/>
      <w:szCs w:val="24"/>
    </w:rPr>
  </w:style>
  <w:style w:type="paragraph" w:styleId="6">
    <w:name w:val="heading 5"/>
    <w:basedOn w:val="1"/>
    <w:next w:val="1"/>
    <w:qFormat/>
    <w:uiPriority w:val="0"/>
    <w:pPr>
      <w:keepNext/>
      <w:keepLines/>
      <w:spacing w:before="240" w:after="80"/>
      <w:contextualSpacing/>
      <w:outlineLvl w:val="4"/>
    </w:pPr>
    <w:rPr>
      <w:color w:val="666666"/>
    </w:rPr>
  </w:style>
  <w:style w:type="paragraph" w:styleId="7">
    <w:name w:val="heading 6"/>
    <w:basedOn w:val="1"/>
    <w:next w:val="1"/>
    <w:uiPriority w:val="0"/>
    <w:pPr>
      <w:keepNext/>
      <w:keepLines/>
      <w:spacing w:before="240" w:after="80"/>
      <w:contextualSpacing/>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9"/>
    <w:semiHidden/>
    <w:unhideWhenUsed/>
    <w:uiPriority w:val="99"/>
    <w:pPr>
      <w:spacing w:line="240" w:lineRule="auto"/>
    </w:pPr>
    <w:rPr>
      <w:rFonts w:ascii="Tahoma" w:hAnsi="Tahoma" w:cs="Tahoma"/>
      <w:sz w:val="16"/>
      <w:szCs w:val="16"/>
    </w:rPr>
  </w:style>
  <w:style w:type="paragraph" w:styleId="11">
    <w:name w:val="Body Text"/>
    <w:basedOn w:val="1"/>
    <w:link w:val="33"/>
    <w:semiHidden/>
    <w:unhideWhenUsed/>
    <w:uiPriority w:val="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pPr>
    <w:rPr>
      <w:rFonts w:ascii="Times New Roman" w:hAnsi="Times New Roman" w:eastAsia="Times New Roman" w:cs="Times New Roman"/>
      <w:color w:val="auto"/>
      <w:sz w:val="20"/>
      <w:szCs w:val="20"/>
      <w:lang w:val="en-US"/>
    </w:rPr>
  </w:style>
  <w:style w:type="character" w:styleId="12">
    <w:name w:val="Emphasis"/>
    <w:basedOn w:val="8"/>
    <w:qFormat/>
    <w:uiPriority w:val="20"/>
    <w:rPr>
      <w:i/>
      <w:iCs/>
    </w:rPr>
  </w:style>
  <w:style w:type="paragraph" w:styleId="13">
    <w:name w:val="footer"/>
    <w:basedOn w:val="1"/>
    <w:link w:val="31"/>
    <w:unhideWhenUsed/>
    <w:qFormat/>
    <w:uiPriority w:val="99"/>
    <w:pPr>
      <w:tabs>
        <w:tab w:val="center" w:pos="4819"/>
        <w:tab w:val="right" w:pos="9639"/>
      </w:tabs>
      <w:spacing w:line="240" w:lineRule="auto"/>
    </w:pPr>
  </w:style>
  <w:style w:type="character" w:styleId="14">
    <w:name w:val="footnote reference"/>
    <w:basedOn w:val="8"/>
    <w:unhideWhenUsed/>
    <w:uiPriority w:val="99"/>
    <w:rPr>
      <w:vertAlign w:val="superscript"/>
    </w:rPr>
  </w:style>
  <w:style w:type="paragraph" w:styleId="15">
    <w:name w:val="footnote text"/>
    <w:basedOn w:val="1"/>
    <w:link w:val="39"/>
    <w:unhideWhenUsed/>
    <w:uiPriority w:val="99"/>
    <w:pPr>
      <w:spacing w:line="240" w:lineRule="auto"/>
    </w:pPr>
    <w:rPr>
      <w:sz w:val="24"/>
      <w:szCs w:val="24"/>
    </w:rPr>
  </w:style>
  <w:style w:type="paragraph" w:styleId="16">
    <w:name w:val="header"/>
    <w:basedOn w:val="1"/>
    <w:link w:val="30"/>
    <w:unhideWhenUsed/>
    <w:uiPriority w:val="99"/>
    <w:pPr>
      <w:tabs>
        <w:tab w:val="center" w:pos="4819"/>
        <w:tab w:val="right" w:pos="9639"/>
      </w:tabs>
      <w:spacing w:line="240" w:lineRule="auto"/>
    </w:pPr>
  </w:style>
  <w:style w:type="paragraph" w:styleId="17">
    <w:name w:val="Subtitle"/>
    <w:basedOn w:val="1"/>
    <w:next w:val="1"/>
    <w:uiPriority w:val="0"/>
    <w:pPr>
      <w:keepNext/>
      <w:keepLines/>
      <w:spacing w:after="320"/>
      <w:contextualSpacing/>
    </w:pPr>
    <w:rPr>
      <w:color w:val="666666"/>
      <w:sz w:val="30"/>
      <w:szCs w:val="30"/>
    </w:rPr>
  </w:style>
  <w:style w:type="paragraph" w:styleId="18">
    <w:name w:val="Title"/>
    <w:basedOn w:val="1"/>
    <w:next w:val="1"/>
    <w:qFormat/>
    <w:uiPriority w:val="0"/>
    <w:pPr>
      <w:keepNext/>
      <w:keepLines/>
      <w:spacing w:after="60"/>
      <w:contextualSpacing/>
    </w:pPr>
    <w:rPr>
      <w:sz w:val="52"/>
      <w:szCs w:val="52"/>
    </w:rPr>
  </w:style>
  <w:style w:type="table" w:customStyle="1" w:styleId="19">
    <w:name w:val="Table Normal1"/>
    <w:uiPriority w:val="0"/>
    <w:tblPr>
      <w:tblCellMar>
        <w:top w:w="0" w:type="dxa"/>
        <w:left w:w="0" w:type="dxa"/>
        <w:bottom w:w="0" w:type="dxa"/>
        <w:right w:w="0" w:type="dxa"/>
      </w:tblCellMar>
    </w:tblPr>
  </w:style>
  <w:style w:type="table" w:customStyle="1" w:styleId="20">
    <w:name w:val="_Style 12"/>
    <w:basedOn w:val="19"/>
    <w:qFormat/>
    <w:uiPriority w:val="0"/>
    <w:tblPr>
      <w:tblCellMar>
        <w:top w:w="0" w:type="dxa"/>
        <w:left w:w="0" w:type="dxa"/>
        <w:bottom w:w="0" w:type="dxa"/>
        <w:right w:w="0" w:type="dxa"/>
      </w:tblCellMar>
    </w:tblPr>
  </w:style>
  <w:style w:type="table" w:customStyle="1" w:styleId="21">
    <w:name w:val="_Style 13"/>
    <w:basedOn w:val="19"/>
    <w:qFormat/>
    <w:uiPriority w:val="0"/>
    <w:tblPr>
      <w:tblCellMar>
        <w:top w:w="0" w:type="dxa"/>
        <w:left w:w="0" w:type="dxa"/>
        <w:bottom w:w="0" w:type="dxa"/>
        <w:right w:w="0" w:type="dxa"/>
      </w:tblCellMar>
    </w:tblPr>
  </w:style>
  <w:style w:type="table" w:customStyle="1" w:styleId="22">
    <w:name w:val="_Style 14"/>
    <w:basedOn w:val="19"/>
    <w:qFormat/>
    <w:uiPriority w:val="0"/>
    <w:tblPr>
      <w:tblCellMar>
        <w:top w:w="0" w:type="dxa"/>
        <w:left w:w="0" w:type="dxa"/>
        <w:bottom w:w="0" w:type="dxa"/>
        <w:right w:w="0" w:type="dxa"/>
      </w:tblCellMar>
    </w:tblPr>
  </w:style>
  <w:style w:type="table" w:customStyle="1" w:styleId="23">
    <w:name w:val="_Style 15"/>
    <w:basedOn w:val="19"/>
    <w:uiPriority w:val="0"/>
    <w:tblPr>
      <w:tblCellMar>
        <w:top w:w="0" w:type="dxa"/>
        <w:left w:w="0" w:type="dxa"/>
        <w:bottom w:w="0" w:type="dxa"/>
        <w:right w:w="0" w:type="dxa"/>
      </w:tblCellMar>
    </w:tblPr>
  </w:style>
  <w:style w:type="table" w:customStyle="1" w:styleId="24">
    <w:name w:val="_Style 16"/>
    <w:basedOn w:val="19"/>
    <w:qFormat/>
    <w:uiPriority w:val="0"/>
    <w:tblPr>
      <w:tblCellMar>
        <w:top w:w="0" w:type="dxa"/>
        <w:left w:w="0" w:type="dxa"/>
        <w:bottom w:w="0" w:type="dxa"/>
        <w:right w:w="0" w:type="dxa"/>
      </w:tblCellMar>
    </w:tblPr>
  </w:style>
  <w:style w:type="table" w:customStyle="1" w:styleId="25">
    <w:name w:val="_Style 17"/>
    <w:basedOn w:val="19"/>
    <w:uiPriority w:val="0"/>
    <w:tblPr>
      <w:tblCellMar>
        <w:top w:w="0" w:type="dxa"/>
        <w:left w:w="0" w:type="dxa"/>
        <w:bottom w:w="0" w:type="dxa"/>
        <w:right w:w="0" w:type="dxa"/>
      </w:tblCellMar>
    </w:tblPr>
  </w:style>
  <w:style w:type="table" w:customStyle="1" w:styleId="26">
    <w:name w:val="_Style 18"/>
    <w:basedOn w:val="19"/>
    <w:qFormat/>
    <w:uiPriority w:val="0"/>
    <w:tblPr>
      <w:tblCellMar>
        <w:top w:w="0" w:type="dxa"/>
        <w:left w:w="0" w:type="dxa"/>
        <w:bottom w:w="0" w:type="dxa"/>
        <w:right w:w="0" w:type="dxa"/>
      </w:tblCellMar>
    </w:tblPr>
  </w:style>
  <w:style w:type="table" w:customStyle="1" w:styleId="27">
    <w:name w:val="_Style 19"/>
    <w:basedOn w:val="19"/>
    <w:qFormat/>
    <w:uiPriority w:val="0"/>
    <w:tblPr>
      <w:tblCellMar>
        <w:top w:w="0" w:type="dxa"/>
        <w:left w:w="0" w:type="dxa"/>
        <w:bottom w:w="0" w:type="dxa"/>
        <w:right w:w="0" w:type="dxa"/>
      </w:tblCellMar>
    </w:tblPr>
  </w:style>
  <w:style w:type="table" w:customStyle="1" w:styleId="28">
    <w:name w:val="_Style 20"/>
    <w:basedOn w:val="19"/>
    <w:qFormat/>
    <w:uiPriority w:val="0"/>
    <w:tblPr>
      <w:tblCellMar>
        <w:top w:w="0" w:type="dxa"/>
        <w:left w:w="0" w:type="dxa"/>
        <w:bottom w:w="0" w:type="dxa"/>
        <w:right w:w="0" w:type="dxa"/>
      </w:tblCellMar>
    </w:tblPr>
  </w:style>
  <w:style w:type="character" w:customStyle="1" w:styleId="29">
    <w:name w:val="Текст выноски Знак"/>
    <w:basedOn w:val="8"/>
    <w:link w:val="10"/>
    <w:semiHidden/>
    <w:uiPriority w:val="99"/>
    <w:rPr>
      <w:rFonts w:ascii="Tahoma" w:hAnsi="Tahoma" w:cs="Tahoma"/>
      <w:sz w:val="16"/>
      <w:szCs w:val="16"/>
    </w:rPr>
  </w:style>
  <w:style w:type="character" w:customStyle="1" w:styleId="30">
    <w:name w:val="Верхний колонтитул Знак"/>
    <w:basedOn w:val="8"/>
    <w:link w:val="16"/>
    <w:uiPriority w:val="99"/>
  </w:style>
  <w:style w:type="character" w:customStyle="1" w:styleId="31">
    <w:name w:val="Нижний колонтитул Знак"/>
    <w:basedOn w:val="8"/>
    <w:link w:val="13"/>
    <w:qFormat/>
    <w:uiPriority w:val="99"/>
  </w:style>
  <w:style w:type="paragraph" w:styleId="32">
    <w:name w:val="List Paragraph"/>
    <w:basedOn w:val="1"/>
    <w:qFormat/>
    <w:uiPriority w:val="34"/>
    <w:pPr>
      <w:ind w:left="720"/>
      <w:contextualSpacing/>
    </w:pPr>
  </w:style>
  <w:style w:type="character" w:customStyle="1" w:styleId="33">
    <w:name w:val="Основной текст Знак"/>
    <w:basedOn w:val="8"/>
    <w:link w:val="11"/>
    <w:semiHidden/>
    <w:qFormat/>
    <w:uiPriority w:val="0"/>
    <w:rPr>
      <w:rFonts w:ascii="Times New Roman" w:hAnsi="Times New Roman" w:eastAsia="Times New Roman" w:cs="Times New Roman"/>
      <w:color w:val="auto"/>
      <w:sz w:val="20"/>
      <w:szCs w:val="20"/>
      <w:lang w:val="en-US"/>
    </w:rPr>
  </w:style>
  <w:style w:type="character" w:customStyle="1" w:styleId="34">
    <w:name w:val="apple-converted-space"/>
    <w:basedOn w:val="8"/>
    <w:uiPriority w:val="0"/>
  </w:style>
  <w:style w:type="paragraph" w:customStyle="1" w:styleId="35">
    <w:name w:val="Table Text"/>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0" w:lineRule="atLeast"/>
      <w:ind w:left="60"/>
      <w:jc w:val="both"/>
    </w:pPr>
    <w:rPr>
      <w:rFonts w:ascii="Times New Roman" w:hAnsi="Times New Roman" w:eastAsia="Calibri" w:cs="Times New Roman"/>
      <w:color w:val="auto"/>
      <w:sz w:val="20"/>
      <w:szCs w:val="20"/>
      <w:lang w:val="en-US" w:eastAsia="uk-UA" w:bidi="ar-SA"/>
    </w:rPr>
  </w:style>
  <w:style w:type="paragraph" w:customStyle="1" w:styleId="36">
    <w:name w:val="Table Text_abzac"/>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0" w:lineRule="atLeast"/>
      <w:ind w:left="60" w:firstLine="300"/>
      <w:jc w:val="both"/>
    </w:pPr>
    <w:rPr>
      <w:rFonts w:ascii="Times New Roman" w:hAnsi="Times New Roman" w:eastAsia="Calibri" w:cs="Times New Roman"/>
      <w:color w:val="auto"/>
      <w:sz w:val="20"/>
      <w:szCs w:val="20"/>
      <w:lang w:val="en-US" w:eastAsia="uk-UA" w:bidi="ar-SA"/>
    </w:rPr>
  </w:style>
  <w:style w:type="paragraph" w:styleId="37">
    <w:name w:val="No Spacing"/>
    <w:qFormat/>
    <w:uiPriority w:val="1"/>
    <w:pPr>
      <w:spacing w:line="240" w:lineRule="auto"/>
    </w:pPr>
    <w:rPr>
      <w:rFonts w:ascii="Arial" w:hAnsi="Arial" w:eastAsia="Arial" w:cs="Arial"/>
      <w:color w:val="000000"/>
      <w:sz w:val="22"/>
      <w:szCs w:val="22"/>
      <w:lang w:val="uk-UA" w:eastAsia="uk-UA" w:bidi="ar-SA"/>
    </w:rPr>
  </w:style>
  <w:style w:type="character" w:styleId="38">
    <w:name w:val="Placeholder Text"/>
    <w:basedOn w:val="8"/>
    <w:semiHidden/>
    <w:uiPriority w:val="99"/>
    <w:rPr>
      <w:color w:val="808080"/>
    </w:rPr>
  </w:style>
  <w:style w:type="character" w:customStyle="1" w:styleId="39">
    <w:name w:val="Текст сноски Знак"/>
    <w:basedOn w:val="8"/>
    <w:link w:val="15"/>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FC02-1FAB-7945-8E99-AF9C222B8E7E}">
  <ds:schemaRefs/>
</ds:datastoreItem>
</file>

<file path=docProps/app.xml><?xml version="1.0" encoding="utf-8"?>
<Properties xmlns="http://schemas.openxmlformats.org/officeDocument/2006/extended-properties" xmlns:vt="http://schemas.openxmlformats.org/officeDocument/2006/docPropsVTypes">
  <Template>Normal.dotm</Template>
  <Company>APN</Company>
  <Pages>21</Pages>
  <Words>10239</Words>
  <Characters>58366</Characters>
  <Lines>486</Lines>
  <Paragraphs>136</Paragraphs>
  <TotalTime>12</TotalTime>
  <ScaleCrop>false</ScaleCrop>
  <LinksUpToDate>false</LinksUpToDate>
  <CharactersWithSpaces>68469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2017-06-07T06:12:00Z</dcterms:created>
  <dc:creator>envy</dc:creator>
  <cp:lastModifiedBy>Наталія Олександрівна</cp:lastModifiedBy>
  <cp:lastPrinted>2017-04-06T11:51:00Z</cp:lastPrinted>
  <dcterms:modified xsi:type="dcterms:W3CDTF">2025-11-16T21:07:23Z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D438C79D2C0E4F5083D593E7D6C17700_13</vt:lpwstr>
  </property>
</Properties>
</file>