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65" w:rsidRPr="00B95A65" w:rsidRDefault="00E05136" w:rsidP="00B95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WordArt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26169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CcflIe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WordArt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8D3B7F" id="WordArt 6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" filled="f" stroked="f">
                <o:lock v:ext="edit" selection="t" text="t" shapetype="t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WordArt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9130B9" id="WordArt 7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1YpgV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:rsidR="00193B37" w:rsidRDefault="00193B37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 ЗА РЕЗУЛЬТАТАМИ ВНУТРІШНЬОГО САМООЦІНЮВАННЯ</w:t>
      </w:r>
    </w:p>
    <w:p w:rsidR="007A05E1" w:rsidRDefault="00193B37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ПЕДАГОГІЧНОЇ ДІЯЛЬНОСТІ </w:t>
      </w:r>
    </w:p>
    <w:p w:rsidR="00177481" w:rsidRPr="00177481" w:rsidRDefault="00177481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7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педагогічних працівників опорного закладу «Новооріхівський ліцей імені О.Г. Лелеченка Ромоданівської селищної ради Миргородського району Полтавської області»</w:t>
      </w:r>
    </w:p>
    <w:p w:rsidR="00B95A65" w:rsidRPr="00177481" w:rsidRDefault="00177481" w:rsidP="00177481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2023-2024 навчальному році</w:t>
      </w:r>
    </w:p>
    <w:p w:rsidR="00B95A65" w:rsidRPr="00177481" w:rsidRDefault="00B95A65" w:rsidP="0017748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8"/>
          <w:szCs w:val="28"/>
          <w:lang w:val="uk-UA"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849"/>
        <w:gridCol w:w="570"/>
        <w:gridCol w:w="10"/>
        <w:gridCol w:w="710"/>
        <w:gridCol w:w="710"/>
        <w:gridCol w:w="710"/>
      </w:tblGrid>
      <w:tr w:rsidR="004D48E1" w:rsidRPr="00007989" w:rsidTr="00177481">
        <w:trPr>
          <w:trHeight w:val="611"/>
        </w:trPr>
        <w:tc>
          <w:tcPr>
            <w:tcW w:w="15559" w:type="dxa"/>
            <w:gridSpan w:val="6"/>
          </w:tcPr>
          <w:p w:rsidR="004D48E1" w:rsidRPr="00B95A65" w:rsidRDefault="004D48E1" w:rsidP="001F6A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Напрям оцінювання</w:t>
            </w: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3. ПЕДАГОГІЧНА ДІЯЛЬНІСТЬ ПЕДАГОГ</w:t>
            </w:r>
            <w:r w:rsidR="005B7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ІЧНИХ ПРАЦІВНИКІВ </w:t>
            </w:r>
          </w:p>
        </w:tc>
      </w:tr>
      <w:tr w:rsidR="00576457" w:rsidRPr="00CE0172" w:rsidTr="00576457">
        <w:tc>
          <w:tcPr>
            <w:tcW w:w="12852" w:type="dxa"/>
          </w:tcPr>
          <w:p w:rsidR="00576457" w:rsidRDefault="00576457" w:rsidP="005764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3.1. Ефективність планування педагогічними працівниками своєї діяльності, використання</w:t>
            </w:r>
          </w:p>
          <w:p w:rsidR="00576457" w:rsidRDefault="00576457" w:rsidP="005764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сучасних освітніх підходів до організації освітнього процесу з метою формування </w:t>
            </w:r>
          </w:p>
          <w:p w:rsidR="00576457" w:rsidRPr="00B95A65" w:rsidRDefault="00576457" w:rsidP="005764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ключових </w:t>
            </w:r>
            <w:proofErr w:type="spellStart"/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здобувачів освіти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77" w:type="dxa"/>
            <w:gridSpan w:val="2"/>
          </w:tcPr>
          <w:p w:rsidR="00576457" w:rsidRPr="00383328" w:rsidRDefault="00576457" w:rsidP="0057645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</w:t>
            </w:r>
          </w:p>
          <w:p w:rsidR="00576457" w:rsidRPr="00383328" w:rsidRDefault="00576457" w:rsidP="005764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</w:tcPr>
          <w:p w:rsidR="00576457" w:rsidRPr="00383328" w:rsidRDefault="00576457" w:rsidP="00B9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710" w:type="dxa"/>
          </w:tcPr>
          <w:p w:rsidR="00576457" w:rsidRPr="00383328" w:rsidRDefault="00576457" w:rsidP="00B9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ВП</w:t>
            </w:r>
          </w:p>
        </w:tc>
        <w:tc>
          <w:tcPr>
            <w:tcW w:w="710" w:type="dxa"/>
          </w:tcPr>
          <w:p w:rsidR="00576457" w:rsidRPr="00383328" w:rsidRDefault="00576457" w:rsidP="00B9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</w:t>
            </w:r>
          </w:p>
        </w:tc>
      </w:tr>
      <w:tr w:rsidR="00193B37" w:rsidRPr="00CE0172" w:rsidTr="004D48E1">
        <w:tc>
          <w:tcPr>
            <w:tcW w:w="12849" w:type="dxa"/>
          </w:tcPr>
          <w:p w:rsidR="004D0724" w:rsidRPr="00CE0172" w:rsidRDefault="00FF01D4" w:rsidP="00FF0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3.1.1. </w:t>
            </w:r>
            <w:r w:rsidR="00193B37" w:rsidRPr="00CE01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метою формування ключових компетентностей здобувачів освіти педагогічними працівниками здійснюється ефективне планування своєї діяльності. 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За підсумками вивченої документації </w:t>
            </w:r>
            <w:r w:rsidR="00193B37" w:rsidRPr="003C3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35DE" w:rsidRPr="003C3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3B37" w:rsidRPr="003C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>календарно-тематичних планів),</w:t>
            </w:r>
            <w:r w:rsidR="00193B37" w:rsidRPr="00CE01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результатами самоаналізу педпрацівників можна зробити висновок, що всі вчителі закладу освіти планують викладацьку діяльність, розробляють календарно-тематичне планування на основі навчальної програми. При цьому орієнтуються на Державні стандарти. Календарно-тематичне планування відповідає освітній програмі закладу.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У закладі освіти видається наказ про підготовку календарно-тематичного планування. Календарно-темати</w:t>
            </w:r>
            <w:r w:rsidR="0062490D">
              <w:rPr>
                <w:rFonts w:ascii="Times New Roman" w:hAnsi="Times New Roman" w:cs="Times New Roman"/>
                <w:sz w:val="28"/>
                <w:szCs w:val="28"/>
              </w:rPr>
              <w:t>чні плани складаються на рік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та погоджуються на засіданнях 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>професійних спільнот педагогічних працівників ліцею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і заступником директора з навчально-виховної роботи. Відповідно до річного плану роботи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 ліцею</w:t>
            </w:r>
            <w:r w:rsidR="00193B37" w:rsidRPr="006249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та програми здійснення внутрішнього контролю адміністрацією школи здійснюється перевірка календарно-тематичного </w:t>
            </w:r>
            <w:r w:rsidR="00193B37"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педагогічних працівників один раз на семестр та надаються рекомендації в разі виявлення недоліків. </w:t>
            </w:r>
            <w:r w:rsidR="00193B37" w:rsidRPr="0062490D">
              <w:rPr>
                <w:rFonts w:ascii="Times New Roman" w:hAnsi="Times New Roman" w:cs="Times New Roman"/>
                <w:sz w:val="28"/>
                <w:szCs w:val="28"/>
              </w:rPr>
              <w:t xml:space="preserve">На засіданнях 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>професійних спільнот педагогічних працівників ліцею</w:t>
            </w:r>
            <w:r w:rsidR="004D0724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B37" w:rsidRPr="00624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аналізується ефективність календарно-тематичного планування, стан його виконання, результативність власної педагогічної діяльності з урахуванням індивідуальних особливостей учнів. 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>Результати анкетування педагогів показали, що більшість учителів під час розроблення календарно-тематичного планування використовують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рекомендації </w:t>
            </w:r>
            <w:proofErr w:type="spellStart"/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>МОНу</w:t>
            </w:r>
            <w:proofErr w:type="spellEnd"/>
            <w:r w:rsidR="00193B37"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100%; </w:t>
            </w:r>
          </w:p>
          <w:p w:rsidR="00193B37" w:rsidRPr="004D0724" w:rsidRDefault="00193B37" w:rsidP="004D072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зразки,</w:t>
            </w:r>
            <w:r w:rsidR="0062490D"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 що пропонують фахові видання 62,5</w:t>
            </w:r>
            <w:r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724">
              <w:rPr>
                <w:rFonts w:ascii="Times New Roman" w:hAnsi="Times New Roman" w:cs="Times New Roman"/>
                <w:sz w:val="28"/>
                <w:szCs w:val="28"/>
              </w:rPr>
              <w:t>розробки з інтернет-сайтів і блогів, які стосуються ви</w:t>
            </w:r>
            <w:r w:rsidR="0062490D"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кладання конкретного предмета 81,3%, 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90D"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досвід запозичений у колег – 50%, 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90D" w:rsidRPr="004D0724">
              <w:rPr>
                <w:rFonts w:ascii="Times New Roman" w:hAnsi="Times New Roman" w:cs="Times New Roman"/>
                <w:sz w:val="28"/>
                <w:szCs w:val="28"/>
              </w:rPr>
              <w:t>спі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>впрацю</w:t>
            </w:r>
            <w:r w:rsidR="0062490D" w:rsidRPr="004D0724">
              <w:rPr>
                <w:rFonts w:ascii="Times New Roman" w:hAnsi="Times New Roman" w:cs="Times New Roman"/>
                <w:sz w:val="28"/>
                <w:szCs w:val="28"/>
              </w:rPr>
              <w:t xml:space="preserve"> з колегами – 37,5 %, власний досвід – 68,8%. </w:t>
            </w:r>
          </w:p>
          <w:p w:rsidR="00193B37" w:rsidRPr="00B95A65" w:rsidRDefault="00193B37" w:rsidP="00CE017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uk-UA"/>
              </w:rPr>
            </w:pPr>
            <w:r w:rsidRPr="00CE0172">
              <w:rPr>
                <w:rFonts w:ascii="Times New Roman" w:hAnsi="Times New Roman" w:cs="Times New Roman"/>
                <w:sz w:val="28"/>
                <w:szCs w:val="28"/>
              </w:rPr>
              <w:t>Аналізуючи календарно-тематичні плани, встановлено, що педагоги самостійно визначають кількість годин на вивчення тієї чи іншої теми, змінюють порядок їх вивчення відповідно до освітніх потреб,</w:t>
            </w:r>
            <w:r w:rsidRPr="00CE01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корегують дату проведення контролю, </w:t>
            </w:r>
            <w:r w:rsidRPr="00CE0172">
              <w:rPr>
                <w:rFonts w:ascii="Times New Roman" w:hAnsi="Times New Roman" w:cs="Times New Roman"/>
                <w:sz w:val="28"/>
                <w:szCs w:val="28"/>
              </w:rPr>
              <w:t>додають корективи в кількість годин на вивчення окремих тем; змінюють порядок вивчення тем в окремих класах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0172">
              <w:rPr>
                <w:rFonts w:ascii="Times New Roman" w:hAnsi="Times New Roman" w:cs="Times New Roman"/>
                <w:sz w:val="28"/>
                <w:szCs w:val="28"/>
              </w:rPr>
              <w:t>планують уроки, спрямовані на формування в учнів ключові</w:t>
            </w:r>
            <w:r w:rsidR="0062490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компетентності</w:t>
            </w:r>
            <w:r w:rsidR="004D0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здійснює моніторинг виконання освітніх програм та календарних планів двічі на рік. У разі виявлення прогалин вживає заходи щодо їх усунення. Календарно-тематичне планування більшості педагогічних працівників закладу освіти забезпечує досягнення очікуваних результатів навчання, що передбачені для даного віку учнів Державним стандартом загальної середньої освіти та сприяє </w:t>
            </w:r>
            <w:proofErr w:type="spellStart"/>
            <w:r w:rsidRPr="00CE0172">
              <w:rPr>
                <w:rFonts w:ascii="Times New Roman" w:hAnsi="Times New Roman" w:cs="Times New Roman"/>
                <w:sz w:val="28"/>
                <w:szCs w:val="28"/>
              </w:rPr>
              <w:t>компетентнісному</w:t>
            </w:r>
            <w:proofErr w:type="spellEnd"/>
            <w:r w:rsidRPr="00CE0172">
              <w:rPr>
                <w:rFonts w:ascii="Times New Roman" w:hAnsi="Times New Roman" w:cs="Times New Roman"/>
                <w:sz w:val="28"/>
                <w:szCs w:val="28"/>
              </w:rPr>
              <w:t xml:space="preserve"> підходу у навчанні.</w:t>
            </w:r>
            <w:r>
              <w:t xml:space="preserve"> </w:t>
            </w:r>
          </w:p>
        </w:tc>
        <w:tc>
          <w:tcPr>
            <w:tcW w:w="580" w:type="dxa"/>
            <w:gridSpan w:val="2"/>
          </w:tcPr>
          <w:p w:rsidR="00193B37" w:rsidRPr="00B95A65" w:rsidRDefault="00193B37" w:rsidP="00B95A65">
            <w:pPr>
              <w:tabs>
                <w:tab w:val="left" w:pos="179"/>
              </w:tabs>
              <w:ind w:left="17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4D48E1" w:rsidP="00B95A65">
            <w:pPr>
              <w:tabs>
                <w:tab w:val="left" w:pos="179"/>
              </w:tabs>
              <w:ind w:left="17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tabs>
                <w:tab w:val="left" w:pos="179"/>
              </w:tabs>
              <w:ind w:left="17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tabs>
                <w:tab w:val="left" w:pos="179"/>
              </w:tabs>
              <w:ind w:left="17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B95A65" w:rsidTr="004D48E1">
        <w:tc>
          <w:tcPr>
            <w:tcW w:w="12849" w:type="dxa"/>
          </w:tcPr>
          <w:p w:rsidR="00D21B50" w:rsidRDefault="00193B37" w:rsidP="00B9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F0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3.1.2.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За підсумками спостереження за проведенням навчальних занять, вивчення документації (календарно-тематичних планів, результатів контрольних робіт) можна зробити висновок, що педагогічні працівники використовують освітні технології, спрямовані на оволодіння здобувачами освіти ключовими компетентностями та наскрізними уміннями, у тому числі технології дистанційного навчання (</w:t>
            </w:r>
            <w:r w:rsidR="003C35DE">
              <w:rPr>
                <w:rFonts w:ascii="Times New Roman" w:hAnsi="Times New Roman" w:cs="Times New Roman"/>
                <w:sz w:val="28"/>
                <w:szCs w:val="28"/>
              </w:rPr>
              <w:t xml:space="preserve">при змішаній формі </w:t>
            </w:r>
            <w:proofErr w:type="spellStart"/>
            <w:r w:rsidR="003C35DE">
              <w:rPr>
                <w:rFonts w:ascii="Times New Roman" w:hAnsi="Times New Roman" w:cs="Times New Roman"/>
                <w:sz w:val="28"/>
                <w:szCs w:val="28"/>
              </w:rPr>
              <w:t>начання</w:t>
            </w:r>
            <w:proofErr w:type="spellEnd"/>
            <w:r w:rsidRPr="00D21B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C35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21B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ормують здатність застосовувати інформаційно-комунікаційні ресурси в умовах дистанційного навчання. Більшість вчителів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конкретизують мету і завдання уроку, наголошують на очікуваних результатах, залучають до цього процесу здобувачів освіти, здійснюють поділ змісту теми на навчальні ситуації</w:t>
            </w:r>
            <w:r w:rsidR="00D21B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Половина педпрацівників обирають форми організації навчальної діяльності  - індивідуально-самостійну, парну, групову, фронтальну - адекватно змісту та методам роботи; надають переваги особистісно-зорієнтованому навчанню, індивідуалізації та диференціації навчання. Більшість вчителів застосовують інтерактивні технології</w:t>
            </w:r>
            <w:r w:rsidR="00D2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B50">
              <w:rPr>
                <w:rFonts w:ascii="Times New Roman" w:hAnsi="Times New Roman" w:cs="Times New Roman"/>
                <w:sz w:val="28"/>
                <w:szCs w:val="28"/>
              </w:rPr>
              <w:t xml:space="preserve">Менша половина педпрацівників забезпечує здійснення рефлексії навчальної діяльності, компетентності, формуванню яких був присвячений даний урок, реалізують моніторинг рівня сформованих компетенцій, а при оцінюванні враховують набуття учнями предметних компетентностей, умінь вирішувати проблеми, пов’язаних з даною навчальною темою.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Питання впровадження компетентнісного підходу розглядаються на засіданнях педагогічної ради, 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засіданнях методичної ради, </w:t>
            </w:r>
            <w:r w:rsidRPr="00D21B50">
              <w:rPr>
                <w:rFonts w:ascii="Times New Roman" w:hAnsi="Times New Roman" w:cs="Times New Roman"/>
                <w:sz w:val="28"/>
                <w:szCs w:val="28"/>
              </w:rPr>
              <w:t>засіданн</w:t>
            </w:r>
            <w:r w:rsidR="00BE7788" w:rsidRPr="00D21B50">
              <w:rPr>
                <w:rFonts w:ascii="Times New Roman" w:hAnsi="Times New Roman" w:cs="Times New Roman"/>
                <w:sz w:val="28"/>
                <w:szCs w:val="28"/>
              </w:rPr>
              <w:t>ях професійних спільнот педагогічних працівників</w:t>
            </w:r>
            <w:r w:rsidRPr="00D21B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3B37" w:rsidRPr="00F733A5" w:rsidRDefault="00193B37" w:rsidP="005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спостереження за відвіданими навчальними заняттями та проведеними </w:t>
            </w:r>
            <w:proofErr w:type="spellStart"/>
            <w:r w:rsidR="00DF3130">
              <w:rPr>
                <w:rFonts w:ascii="Times New Roman" w:hAnsi="Times New Roman" w:cs="Times New Roman"/>
                <w:sz w:val="28"/>
                <w:szCs w:val="28"/>
              </w:rPr>
              <w:t>моніторингами</w:t>
            </w:r>
            <w:proofErr w:type="spellEnd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використовуються в закладі освіти для підвищення якості освітньої діяльності</w:t>
            </w:r>
            <w:r w:rsidR="00DF3130">
              <w:rPr>
                <w:rFonts w:ascii="Times New Roman" w:hAnsi="Times New Roman" w:cs="Times New Roman"/>
                <w:sz w:val="28"/>
                <w:szCs w:val="28"/>
              </w:rPr>
              <w:t xml:space="preserve"> та подолання освітніх </w:t>
            </w:r>
            <w:r w:rsidR="00DF3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втрат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3130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Педагогічні працівники ведуть особисті блоги, посилання на які є на сайті ліцею. </w:t>
            </w:r>
            <w:r w:rsidR="00D21B50">
              <w:rPr>
                <w:rFonts w:ascii="Times New Roman" w:hAnsi="Times New Roman" w:cs="Times New Roman"/>
                <w:sz w:val="28"/>
                <w:szCs w:val="28"/>
              </w:rPr>
              <w:t xml:space="preserve">Але поповнення їх актуальною інформацією хаотичне. </w:t>
            </w:r>
          </w:p>
        </w:tc>
        <w:tc>
          <w:tcPr>
            <w:tcW w:w="58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4D48E1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193B37" w:rsidRPr="00B95A65" w:rsidTr="004D48E1">
        <w:tc>
          <w:tcPr>
            <w:tcW w:w="12849" w:type="dxa"/>
          </w:tcPr>
          <w:p w:rsidR="00DB2814" w:rsidRPr="00F733A5" w:rsidRDefault="00193B37" w:rsidP="00B95A6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F0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3.1.3.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Результати опитування показали, що більшість педпрацівників закладу освіти формують комунікативну компетентність у співпраці з здобувачем знань, здійснюють диференціацію навчальної діяльності, надають консультаційну допомогу і підтримку, спільно проводять дослідження, разом спостерігають за результатами. </w:t>
            </w:r>
            <w:r w:rsidR="00DF3130" w:rsidRPr="00F733A5">
              <w:rPr>
                <w:rFonts w:ascii="Times New Roman" w:hAnsi="Times New Roman" w:cs="Times New Roman"/>
                <w:sz w:val="28"/>
                <w:szCs w:val="28"/>
              </w:rPr>
              <w:t>У 2023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F3130" w:rsidRPr="00F733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 з метою реалізації індивідуальної освітньої траєкторії організована індив</w:t>
            </w:r>
            <w:r w:rsidR="00135BD3" w:rsidRPr="00F733A5">
              <w:rPr>
                <w:rFonts w:ascii="Times New Roman" w:hAnsi="Times New Roman" w:cs="Times New Roman"/>
                <w:sz w:val="28"/>
                <w:szCs w:val="28"/>
              </w:rPr>
              <w:t>ідуальна форма навчання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: сімейна для двох учнів, що перебувають за кордоном - Шумейко Є. 1 клас та Шумейко Ілля 4 клас; екстернатна для учня 6 класу Лози Давида, який перебуває на тимчасово окупованій території та двох учнів 10 класу – Головань Т., </w:t>
            </w:r>
            <w:proofErr w:type="spellStart"/>
            <w:r w:rsidR="00F733A5">
              <w:rPr>
                <w:rFonts w:ascii="Times New Roman" w:hAnsi="Times New Roman" w:cs="Times New Roman"/>
                <w:sz w:val="28"/>
                <w:szCs w:val="28"/>
              </w:rPr>
              <w:t>Колташова</w:t>
            </w:r>
            <w:proofErr w:type="spellEnd"/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 Д., індивідуальне навчання для </w:t>
            </w:r>
            <w:r w:rsidR="00135BD3"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>учня з ООП 6 класу Сердюка А.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учнів, які працю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>вали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над науково-дослідни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цькою та </w:t>
            </w:r>
            <w:proofErr w:type="spellStart"/>
            <w:r w:rsidR="00F733A5">
              <w:rPr>
                <w:rFonts w:ascii="Times New Roman" w:hAnsi="Times New Roman" w:cs="Times New Roman"/>
                <w:sz w:val="28"/>
                <w:szCs w:val="28"/>
              </w:rPr>
              <w:t>проєктною</w:t>
            </w:r>
            <w:proofErr w:type="spellEnd"/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роботами розроблено індивідуальний освітній маршрут за окремими темами досліджень. </w:t>
            </w:r>
            <w:r w:rsidR="00DB2814" w:rsidRPr="00F733A5">
              <w:rPr>
                <w:rFonts w:ascii="Times New Roman" w:hAnsi="Times New Roman" w:cs="Times New Roman"/>
                <w:sz w:val="28"/>
                <w:szCs w:val="28"/>
              </w:rPr>
              <w:t>Проєктна робота «Всеукраїнська акція Годівничка»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14"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учениця 9 класу </w:t>
            </w:r>
            <w:r w:rsidR="00DB2814" w:rsidRPr="00F733A5">
              <w:rPr>
                <w:rFonts w:ascii="Times New Roman" w:hAnsi="Times New Roman" w:cs="Times New Roman"/>
                <w:sz w:val="28"/>
                <w:szCs w:val="28"/>
              </w:rPr>
              <w:t>Шемет К.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814" w:rsidRPr="00F733A5">
              <w:rPr>
                <w:rFonts w:ascii="Times New Roman" w:hAnsi="Times New Roman" w:cs="Times New Roman"/>
                <w:sz w:val="28"/>
                <w:szCs w:val="28"/>
              </w:rPr>
              <w:t xml:space="preserve"> МАН 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 учень 8 класу </w:t>
            </w:r>
            <w:r w:rsidR="00DB2814" w:rsidRPr="00F733A5">
              <w:rPr>
                <w:rFonts w:ascii="Times New Roman" w:hAnsi="Times New Roman" w:cs="Times New Roman"/>
                <w:sz w:val="28"/>
                <w:szCs w:val="28"/>
              </w:rPr>
              <w:t>Сурмило Я.</w:t>
            </w:r>
            <w:r w:rsidR="00F733A5">
              <w:rPr>
                <w:rFonts w:ascii="Times New Roman" w:hAnsi="Times New Roman" w:cs="Times New Roman"/>
                <w:sz w:val="28"/>
                <w:szCs w:val="28"/>
              </w:rPr>
              <w:t xml:space="preserve"> Для учня 3 класу Качаненка А., який має ООП, організовано інклюзивне навчання.</w:t>
            </w:r>
          </w:p>
          <w:p w:rsidR="00193B37" w:rsidRPr="00B95A65" w:rsidRDefault="00193B37" w:rsidP="000B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4D48E1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193B37" w:rsidRPr="00B95A65" w:rsidTr="004D48E1">
        <w:tc>
          <w:tcPr>
            <w:tcW w:w="12849" w:type="dxa"/>
          </w:tcPr>
          <w:p w:rsidR="00193B37" w:rsidRPr="00B95A65" w:rsidRDefault="00193B37" w:rsidP="002A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3.1.4</w:t>
            </w:r>
            <w:r w:rsidRPr="00B95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Більшість педагогічних працівників створюють та використовують власні освітні електронні та паперові ресурси 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(електронні презентації, відеоматеріали, методичні розробки на всіх етапах проведення навчальних занять, більшість вчителів створюють власні освітні ресурси: електронні презентації, плани-конспекти, сценарії проведення навчальних занять, додаткові інформаційні матеріали для проведення уроків, практичні і </w:t>
            </w:r>
            <w:proofErr w:type="spellStart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проєктні</w:t>
            </w:r>
            <w:proofErr w:type="spellEnd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для роботи учнів під час проведення навчальних занять та вдома, завдання для самостійного опрацювання учнями, календарно-тематичні плани, електронні освітні ресурси для дистанційного навчання)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DB28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але на жаль не 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мають публік</w:t>
            </w:r>
            <w:r w:rsidR="00446E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ації з професійної тематики. 75 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 вчителів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створюють онлайн тести для здійснення контролю знань учнів; самостійно розробляють дидактичні матеріали для здійснення поточного та тематичного оцінювання.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Створені електронні ресурси використовуються у власній діяльності та з метою обміну педагогічним досвідом. </w:t>
            </w:r>
            <w:r w:rsidR="000533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Два педагоги подали свої матеріали на </w:t>
            </w:r>
            <w:r w:rsidR="00446E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обласну </w:t>
            </w:r>
            <w:r w:rsidR="000533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виставку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педагогічних технологій</w:t>
            </w:r>
            <w:r w:rsidR="000533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дистанційного навчання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533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</w:t>
            </w:r>
            <w:r w:rsidR="00446E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 ім. Остроградського, які посіли ІІІ місце</w:t>
            </w:r>
            <w:r w:rsidR="002A43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58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93B37" w:rsidRPr="00B95A65" w:rsidRDefault="004D48E1" w:rsidP="00B95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CE0172" w:rsidTr="004D48E1">
        <w:tc>
          <w:tcPr>
            <w:tcW w:w="12849" w:type="dxa"/>
          </w:tcPr>
          <w:p w:rsidR="00193B37" w:rsidRPr="00727928" w:rsidRDefault="00193B37" w:rsidP="0072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F0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3.1.5.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Переважна більшість учителів використовують зміст навчальних ресурсів для формування суспільних цінностей, виховання патріотизму у здобувачів освіти у процесі їх навчання, виховання та розвитку.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За підсумками спостереження за проведенням навчальних занять простежується наскрізний процес виховання практично з усіх предметів. 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 xml:space="preserve">Усі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педагогічн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використовують зміст предмету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формування суспільних цінностей, виховання патріотизму у здобувачів освіти у процесі їх навчання, виховання та розвитку. Під час проведення уроків педагоги школи формують ключові компетентності учнів, повагу до державної мови, культури, закону, реалізують наскрізні змістові лінії, розвивають у здобувачів освіти загальнолюдські цінності, розвивають навички співпраці та культуру командної роботи. </w:t>
            </w:r>
          </w:p>
        </w:tc>
        <w:tc>
          <w:tcPr>
            <w:tcW w:w="580" w:type="dxa"/>
            <w:gridSpan w:val="2"/>
          </w:tcPr>
          <w:p w:rsidR="00193B37" w:rsidRPr="00B95A65" w:rsidRDefault="00711B91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F615A3" w:rsidTr="004D48E1">
        <w:tc>
          <w:tcPr>
            <w:tcW w:w="12849" w:type="dxa"/>
          </w:tcPr>
          <w:p w:rsidR="00FF01D4" w:rsidRDefault="00711B91" w:rsidP="00FF01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3.1.6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чителі</w:t>
            </w:r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використовують ІКТ в освітньому процесі. В умовах дистанційного навчання заклад використовує  </w:t>
            </w:r>
            <w:proofErr w:type="spellStart"/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Classrom</w:t>
            </w:r>
            <w:proofErr w:type="spellEnd"/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EDDY</w:t>
            </w:r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Дистанційне навчання організовано відповідно Положення про дистанційне навчання. Тривалість дистанційного уроку дотримується у </w:t>
            </w:r>
            <w:r w:rsid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 </w:t>
            </w:r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вчителів. Вчителі працюють в синхронному і асинхронному режимах. </w:t>
            </w:r>
            <w:proofErr w:type="spellStart"/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Відеозустрічі</w:t>
            </w:r>
            <w:proofErr w:type="spellEnd"/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організовують у</w:t>
            </w:r>
            <w:r w:rsid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Meet</w:t>
            </w:r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>. Спостереження за навчальними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аняттями показали, що близько 70</w:t>
            </w:r>
            <w:r w:rsidR="00193B37"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здобувачів знань були присутніми на дистанційного уроку. </w:t>
            </w:r>
          </w:p>
          <w:p w:rsidR="00193B37" w:rsidRPr="00FF01D4" w:rsidRDefault="00193B37" w:rsidP="00FF01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Більшість вчителів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організовують індивідуальне консультування учнів під час використання технології дистанційного навчання</w:t>
            </w:r>
            <w:r w:rsidRPr="0072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месенджери.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Педагогічні працівники 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в освітньому процесі застосовують </w:t>
            </w:r>
            <w:proofErr w:type="spellStart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інформаційнокомунікаційні</w:t>
            </w:r>
            <w:proofErr w:type="spellEnd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технології. У ході спостереження виявлено, що ІКТ переважна більшість педагогів закладу використовують у своїй професійній діяльності вчителя, класного керівника</w:t>
            </w:r>
            <w:r w:rsidR="00711B91" w:rsidRPr="0071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для пояснення навчального матеріалу, активізації пізнавальної діяльності здобувачів освіти, для уна</w:t>
            </w:r>
            <w:r w:rsidR="00711B91">
              <w:rPr>
                <w:rFonts w:ascii="Times New Roman" w:hAnsi="Times New Roman" w:cs="Times New Roman"/>
                <w:sz w:val="28"/>
                <w:szCs w:val="28"/>
              </w:rPr>
              <w:t>очнення уроків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1B91">
              <w:rPr>
                <w:rFonts w:ascii="Times New Roman" w:hAnsi="Times New Roman" w:cs="Times New Roman"/>
                <w:sz w:val="28"/>
                <w:szCs w:val="28"/>
              </w:rPr>
              <w:t xml:space="preserve">годин спілкування,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використовуючи готові освітні ресурси: електронні презентації, відеоматеріали, електронні підручники, </w:t>
            </w:r>
            <w:proofErr w:type="spellStart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інтернеттехнології</w:t>
            </w:r>
            <w:proofErr w:type="spellEnd"/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для пошуку актуальної інформації. Близько половини вчителів створюють власні електронні ресурси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електронні тести,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 xml:space="preserve"> вправи, ігри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, використовують нові освітні технології для дистанційного та змішаного навчання, віртуальні дошки</w:t>
            </w:r>
            <w:r w:rsidR="00C84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 За підсумками анкетування: 6</w:t>
            </w:r>
            <w:r w:rsidR="00FF01D4">
              <w:rPr>
                <w:rFonts w:ascii="Times New Roman" w:hAnsi="Times New Roman" w:cs="Times New Roman"/>
                <w:sz w:val="28"/>
                <w:szCs w:val="28"/>
              </w:rPr>
              <w:t xml:space="preserve">8,8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 xml:space="preserve">% педагогічних працівників обрали тематику використання ІКТ в освіті для професійного зростання. З цією метою </w:t>
            </w:r>
            <w:r w:rsidR="00FF01D4">
              <w:rPr>
                <w:rFonts w:ascii="Times New Roman" w:hAnsi="Times New Roman" w:cs="Times New Roman"/>
                <w:sz w:val="28"/>
                <w:szCs w:val="28"/>
              </w:rPr>
              <w:t>всі у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чителі</w:t>
            </w:r>
            <w:r w:rsidR="00FF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28">
              <w:rPr>
                <w:rFonts w:ascii="Times New Roman" w:hAnsi="Times New Roman" w:cs="Times New Roman"/>
                <w:sz w:val="28"/>
                <w:szCs w:val="28"/>
              </w:rPr>
              <w:t>проходять онлайн-курси, займаються самоосвіто</w:t>
            </w:r>
            <w:r w:rsidR="00FF01D4">
              <w:rPr>
                <w:rFonts w:ascii="Times New Roman" w:hAnsi="Times New Roman" w:cs="Times New Roman"/>
                <w:sz w:val="28"/>
                <w:szCs w:val="28"/>
              </w:rPr>
              <w:t>ю та обмінюються досвідом.</w:t>
            </w:r>
          </w:p>
        </w:tc>
        <w:tc>
          <w:tcPr>
            <w:tcW w:w="58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4D48E1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4D48E1" w:rsidRPr="00193B37" w:rsidTr="00AC2610">
        <w:tc>
          <w:tcPr>
            <w:tcW w:w="15559" w:type="dxa"/>
            <w:gridSpan w:val="6"/>
          </w:tcPr>
          <w:p w:rsidR="004D48E1" w:rsidRPr="00193B37" w:rsidRDefault="004D48E1" w:rsidP="00B95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0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Pr="00193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.2. Постійне підвищення професійного рівня і педагогічної майстерності педагогічних працівників</w:t>
            </w:r>
          </w:p>
        </w:tc>
      </w:tr>
      <w:tr w:rsidR="00193B37" w:rsidRPr="00B95A65" w:rsidTr="004D48E1">
        <w:tc>
          <w:tcPr>
            <w:tcW w:w="12849" w:type="dxa"/>
          </w:tcPr>
          <w:p w:rsidR="007910ED" w:rsidRDefault="00193B37" w:rsidP="0067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3.2.1. Переважна більшість</w:t>
            </w:r>
            <w:r w:rsidRPr="00677B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67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обираючи кількість, види, форми та напрями</w:t>
            </w:r>
            <w:r w:rsidRPr="00677B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  <w:r w:rsidRPr="00677B2D">
              <w:rPr>
                <w:sz w:val="28"/>
                <w:szCs w:val="28"/>
              </w:rPr>
              <w:t>.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Педагогічні працівники 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ліцею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забезпечують власний професійний розвиток, обираючи різну кількість видів, форм та напрямів підвищення своєї професійної майстерності з урахуванням освітніх потреб учнів і чинного законодавства. Види, форми та напрями підвищення рівня професійної майстерності педагогічних працівників синхронізовані з освітньою програмою закладу освіти. За підсумками проведеного анкетування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підвищують кваліфікацію на курсах в 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>ПАНО 75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% педагогічних працівників, 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43,8%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>- через участь у конференціях,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 56,3 %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методичних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>семінарах,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 75 %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беруть участь у тренінгах і майстер-класах,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 87,5 %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підвищують кваліфікацію засобами </w:t>
            </w:r>
            <w:proofErr w:type="spellStart"/>
            <w:r w:rsidRPr="00677B2D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77B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 81,3 %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- проходять онлайн курси, </w:t>
            </w:r>
            <w:r w:rsidR="007910ED">
              <w:rPr>
                <w:rFonts w:ascii="Times New Roman" w:hAnsi="Times New Roman" w:cs="Times New Roman"/>
                <w:sz w:val="28"/>
                <w:szCs w:val="28"/>
              </w:rPr>
              <w:t xml:space="preserve">87,5 </w:t>
            </w:r>
            <w:r w:rsidRPr="00677B2D">
              <w:rPr>
                <w:rFonts w:ascii="Times New Roman" w:hAnsi="Times New Roman" w:cs="Times New Roman"/>
                <w:sz w:val="28"/>
                <w:szCs w:val="28"/>
              </w:rPr>
              <w:t xml:space="preserve">% педагогічних працівників займається самоосвітою. </w:t>
            </w:r>
          </w:p>
          <w:p w:rsidR="007910ED" w:rsidRPr="00ED4A58" w:rsidRDefault="00193B37" w:rsidP="0067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Всі педагогічні працівники на різних онлайн платформах дистанційного навчання додатково, без урахування кур</w:t>
            </w:r>
            <w:r w:rsidR="0011349D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сів підвищення кваліфікації в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49D" w:rsidRPr="00ED4A58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О, підвищили свою кваліфікацію з надання домедичної допомоги, </w:t>
            </w:r>
            <w:r w:rsidR="007910ED" w:rsidRPr="00ED4A58">
              <w:rPr>
                <w:rFonts w:ascii="Times New Roman" w:hAnsi="Times New Roman" w:cs="Times New Roman"/>
                <w:sz w:val="28"/>
                <w:szCs w:val="28"/>
              </w:rPr>
              <w:t>мінної безпеки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10ED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того, більшість педагогів проходять різні </w:t>
            </w:r>
            <w:proofErr w:type="spellStart"/>
            <w:r w:rsidR="007910ED" w:rsidRPr="00ED4A58">
              <w:rPr>
                <w:rFonts w:ascii="Times New Roman" w:hAnsi="Times New Roman" w:cs="Times New Roman"/>
                <w:sz w:val="28"/>
                <w:szCs w:val="28"/>
              </w:rPr>
              <w:t>онлайнкурси</w:t>
            </w:r>
            <w:proofErr w:type="spellEnd"/>
            <w:r w:rsidR="007910ED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ДІЯ.</w:t>
            </w:r>
          </w:p>
          <w:p w:rsidR="00193B37" w:rsidRPr="007910ED" w:rsidRDefault="007910ED" w:rsidP="00ED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12,5 % </w:t>
            </w:r>
            <w:r w:rsidR="00193B37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працівників закладу освіти для професійного зростання обрали тему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«Законодавче забезпечення освітнього процесу», 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50% -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«Методичні аспекти викладання предметів та курсів», 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43,8% -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«Організація інклюзивної форми навчання»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>, 37,5 % -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«Форми організації освітнього процесу»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12,5% -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«Профілактика та пр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>ояви девіантної поведінки», 25% - «П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сихологічні особливості роботи зі здобувачами осві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>ти різних вікових категорій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, 62,5% -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«Безпечне освітнє середовище»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>, 56,3% -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у здобувачів освіти громадянської позиції»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, 68,8% - </w:t>
            </w:r>
            <w:r w:rsidR="00193B37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«Використання інформаційно - комунікаційних технологій в освіті», 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>18,8% - «Ділове українське мовлення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1F3"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</w:tcPr>
          <w:p w:rsidR="00193B37" w:rsidRPr="00B95A65" w:rsidRDefault="004D48E1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  <w:lastRenderedPageBreak/>
              <w:t>+</w:t>
            </w:r>
          </w:p>
        </w:tc>
        <w:tc>
          <w:tcPr>
            <w:tcW w:w="72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uk-UA"/>
              </w:rPr>
            </w:pPr>
          </w:p>
        </w:tc>
      </w:tr>
      <w:tr w:rsidR="00193B37" w:rsidRPr="00CE0172" w:rsidTr="004D48E1">
        <w:tc>
          <w:tcPr>
            <w:tcW w:w="12849" w:type="dxa"/>
          </w:tcPr>
          <w:p w:rsidR="00193B37" w:rsidRPr="00114BDE" w:rsidRDefault="00193B37" w:rsidP="009E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3.2.2.</w:t>
            </w:r>
            <w:r w:rsidR="009E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Педагогічні працівники закладу освіти </w:t>
            </w:r>
            <w:r w:rsidR="00ED4A58"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беруть участь в інноваційній </w:t>
            </w:r>
            <w:r w:rsidR="00F1547D" w:rsidRPr="00F1547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F1547D"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слідно-експериментальній діяльності, не </w:t>
            </w:r>
            <w:r w:rsidR="00F1547D">
              <w:rPr>
                <w:rFonts w:ascii="Times New Roman" w:hAnsi="Times New Roman" w:cs="Times New Roman"/>
                <w:sz w:val="28"/>
                <w:szCs w:val="28"/>
              </w:rPr>
              <w:t>здійснюють</w:t>
            </w:r>
            <w:r w:rsidR="00F1547D" w:rsidRPr="00F1547D">
              <w:rPr>
                <w:rFonts w:ascii="Times New Roman" w:hAnsi="Times New Roman" w:cs="Times New Roman"/>
                <w:sz w:val="28"/>
                <w:szCs w:val="28"/>
              </w:rPr>
              <w:t xml:space="preserve"> експертної діяльності.</w:t>
            </w:r>
            <w:r w:rsidR="00F1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383328" w:rsidRDefault="007910ED" w:rsidP="00B95A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4D48E1" w:rsidRPr="00B95A65" w:rsidTr="00AC2610">
        <w:tc>
          <w:tcPr>
            <w:tcW w:w="15559" w:type="dxa"/>
            <w:gridSpan w:val="6"/>
          </w:tcPr>
          <w:p w:rsidR="004D48E1" w:rsidRPr="00135BD3" w:rsidRDefault="004D48E1" w:rsidP="004D48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</w:pPr>
            <w:r w:rsidRPr="0013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</w:tr>
      <w:tr w:rsidR="009E2954" w:rsidRPr="009E2954" w:rsidTr="001D79DB">
        <w:trPr>
          <w:trHeight w:val="1196"/>
        </w:trPr>
        <w:tc>
          <w:tcPr>
            <w:tcW w:w="12849" w:type="dxa"/>
          </w:tcPr>
          <w:p w:rsidR="009E2954" w:rsidRPr="009E2954" w:rsidRDefault="009E2954" w:rsidP="001D7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Більшість педагогічних працівників використовують форми роботи, спрямовані на формування партнерських взаємин зі здобувачами освіти. За результатами опитування 45,8% учнів вважають, що педагоги вислуховують та сприймають думки учнів, їх погляди, 35,4% - педагоги враховують думку здобувачів освіти лише з окремих предметів, 18,8%  учнів вважають, що педагоги нав’язують їм свою думку. Партнерська діяльність вчителя та учня орієнтована на розвиток творчого мислення.</w:t>
            </w:r>
          </w:p>
        </w:tc>
        <w:tc>
          <w:tcPr>
            <w:tcW w:w="570" w:type="dxa"/>
          </w:tcPr>
          <w:p w:rsidR="009E2954" w:rsidRPr="009E2954" w:rsidRDefault="009E2954" w:rsidP="001D79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9E2954" w:rsidRPr="009E2954" w:rsidRDefault="009E2954" w:rsidP="001D79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9E2954" w:rsidRPr="009E2954" w:rsidRDefault="009E2954" w:rsidP="001D79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9E2954" w:rsidRPr="009E2954" w:rsidRDefault="009E2954" w:rsidP="001D79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B95A65" w:rsidTr="004D48E1">
        <w:tc>
          <w:tcPr>
            <w:tcW w:w="12849" w:type="dxa"/>
          </w:tcPr>
          <w:p w:rsidR="00193B37" w:rsidRDefault="00193B37" w:rsidP="00AF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Pr="00B95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.3.1</w:t>
            </w:r>
            <w:r w:rsidRPr="00114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 xml:space="preserve">Більшість педагогів 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здійснюють індивідуальний підхід в освітньому процесі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 xml:space="preserve"> учнів та співпрацюють з ними; 2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використо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вують диференційований підхід; 2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- використовують різнорівневі завдання. Педагогічні працівники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співпрацюють з батьками здобувачів освіти з питань організації освітнього процесу, забезпечують постійний зворотній зв'язок. Переважна більшість батьків задоволені рівнем комунікації з педагогічними працівниками закладу освіти. За результатами анкетув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 xml:space="preserve">ання: 57,6 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% батьків вважає, що педагоги закладу забезпечують зворо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тній зв'язок з ними завжди, 22,7% - переважно так, 15,2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% - зворотній зв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'язок з ними відбувається іноді, 4,5% - ніколи.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У закладі освіти плануються та реалізуються заходи, що передбачають конструктивну співпрацю педагогів з батьками.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 xml:space="preserve">У ліцеї працює Центр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 xml:space="preserve">чної освіти та допомоги батькам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переважно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в онла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 xml:space="preserve">йн режимі: </w:t>
            </w:r>
            <w:r w:rsidR="009C2A2A">
              <w:rPr>
                <w:rFonts w:ascii="Times New Roman" w:hAnsi="Times New Roman" w:cs="Times New Roman"/>
                <w:sz w:val="28"/>
                <w:szCs w:val="28"/>
              </w:rPr>
              <w:t>батькам розсилаються поради, пам’ятки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 xml:space="preserve"> у групах </w:t>
            </w:r>
            <w:proofErr w:type="spellStart"/>
            <w:r w:rsidR="00AF5BCC" w:rsidRPr="00114BD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AF5BCC">
              <w:rPr>
                <w:rFonts w:ascii="Times New Roman" w:hAnsi="Times New Roman" w:cs="Times New Roman"/>
                <w:sz w:val="28"/>
                <w:szCs w:val="28"/>
              </w:rPr>
              <w:t>, де і відбувається обговорення з матеріалами та надається зворотній зв’язок.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Аналізується результативність проведених заходів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 xml:space="preserve"> на зборах батьківського комітету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у разі необхідності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вносяться корективи задля налагодження партнерства між вчителями та батьківською громадськістю. Як засвідчило анкетування, співпраця вчителів та батьків здобувачів освіти відбувається у рі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>зноманітних формах: 68,8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% педагогічних працівників </w:t>
            </w:r>
            <w:proofErr w:type="spellStart"/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114BDE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 завдяки батьківським зборам; індивідуа</w:t>
            </w:r>
            <w:r w:rsidR="00AF5BCC">
              <w:rPr>
                <w:rFonts w:ascii="Times New Roman" w:hAnsi="Times New Roman" w:cs="Times New Roman"/>
                <w:sz w:val="28"/>
                <w:szCs w:val="28"/>
              </w:rPr>
              <w:t xml:space="preserve">льно спілкуються з батьками - 100% педагогічних працівників. </w:t>
            </w:r>
            <w:r w:rsidRPr="00114BDE">
              <w:rPr>
                <w:rFonts w:ascii="Times New Roman" w:hAnsi="Times New Roman" w:cs="Times New Roman"/>
                <w:sz w:val="28"/>
                <w:szCs w:val="28"/>
              </w:rPr>
              <w:t>Це сприяє налагодженню партнерських взаємин між педагогами закладу освіти та батьками здобувачів освіти.</w:t>
            </w:r>
          </w:p>
          <w:p w:rsidR="009E2954" w:rsidRPr="008622F3" w:rsidRDefault="008622F3" w:rsidP="00AF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22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30,3% батьків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розраховують на підтримку директора у вирішенні проблемних ситуацій, 4,5 % батьків розраховують на допомогу заступника директора, 89,4% - на допомогу класного керівника, 9,1% - практичного психолога, 21,2% - на допомогу вчителів-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предметників</w:t>
            </w:r>
            <w:proofErr w:type="spellEnd"/>
            <w:r w:rsidR="00567D8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9,1% - на допомогу інших батьків, 6,1% - на допомогу відділу освіти.</w:t>
            </w:r>
          </w:p>
        </w:tc>
        <w:tc>
          <w:tcPr>
            <w:tcW w:w="570" w:type="dxa"/>
          </w:tcPr>
          <w:p w:rsidR="00193B37" w:rsidRPr="00B95A65" w:rsidRDefault="00193B37" w:rsidP="00E7539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4D48E1" w:rsidP="00E7539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E7539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E7539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B95A65" w:rsidTr="004D48E1">
        <w:tc>
          <w:tcPr>
            <w:tcW w:w="12849" w:type="dxa"/>
          </w:tcPr>
          <w:p w:rsidR="00193B37" w:rsidRDefault="00193B37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3.3.2. </w:t>
            </w:r>
            <w:r w:rsidRPr="00B95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закладі освіти сплановано та реалізуються заходи, що передбачають конструктивну співпрацю педагогів з батьками учнів. Співпраця відбувається у різноманітних формах, що сприяє налагодженню партнерських взаємин між педагогами закладу освіти та батьками здобувачів освіти. Забезпечується зворотній зв’язок.</w:t>
            </w:r>
            <w:r w:rsidR="00567D8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67D87" w:rsidRPr="00B95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діяльність закладу освіти дізнаються із соціальних мереж, із сайту, інформації класного керівника, на батьківських зборах.</w:t>
            </w:r>
            <w:r w:rsidR="00567D8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B07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результатами анкетування </w:t>
            </w:r>
            <w:r w:rsidR="00567D8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28,8% батьків задоволені організацією освітнього процесу, 60,6</w:t>
            </w:r>
            <w:r w:rsidR="00CB07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 - переважно задоволені, 7,6</w:t>
            </w:r>
            <w:r w:rsidR="00381B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 - переважно не задоволені, 3</w:t>
            </w:r>
            <w:r w:rsidR="00CB07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 - незадоволені.</w:t>
            </w:r>
          </w:p>
          <w:p w:rsidR="00CB07F9" w:rsidRPr="00B95A65" w:rsidRDefault="00CB07F9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42,2% батьків зазначили, що педагоги завжди інформують їх про критерії,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іпроцедури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оцінювання навчальних досягнень учнів, 40,9% - </w:t>
            </w:r>
            <w:r w:rsidR="00AC26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переважно інформують, 16,7% - іноді інформують. </w:t>
            </w:r>
          </w:p>
          <w:p w:rsidR="00193B37" w:rsidRPr="00B95A65" w:rsidRDefault="00381B0C" w:rsidP="00B9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81B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комунікації з батьками всі педагогічні працівники використовують</w:t>
            </w:r>
            <w:r w:rsidRPr="00381B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Viber</w:t>
            </w:r>
            <w:r w:rsidRPr="00381B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співпрацюють під час батьківських зборів та під час індивідуального спілкування. Опитування показало, що більшість батьків задоволені комунікацією з педагогічними працівниками.</w:t>
            </w:r>
          </w:p>
        </w:tc>
        <w:tc>
          <w:tcPr>
            <w:tcW w:w="57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381B0C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381B0C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CE0172" w:rsidTr="004D48E1">
        <w:tc>
          <w:tcPr>
            <w:tcW w:w="12849" w:type="dxa"/>
          </w:tcPr>
          <w:p w:rsidR="00381B0C" w:rsidRPr="009E2954" w:rsidRDefault="00193B37" w:rsidP="009E2954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9E2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3.3.3. </w:t>
            </w:r>
            <w:r w:rsidR="00381B0C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ліцеї</w:t>
            </w:r>
            <w:r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налагоджено професійну співпрацю</w:t>
            </w:r>
            <w:r w:rsidR="00381B0C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педагогів:</w:t>
            </w:r>
            <w:r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B0D0D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діє методична рада,  професійні спільноти</w:t>
            </w:r>
            <w:r w:rsidR="00381B0C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педагогічних працівників</w:t>
            </w:r>
            <w:r w:rsidR="005B0D0D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гуманітарного</w:t>
            </w:r>
            <w:r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Співпраця між педагогами найбільш ефективна шляхо</w:t>
            </w:r>
            <w:r w:rsidR="009E2954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 </w:t>
            </w:r>
            <w:proofErr w:type="spellStart"/>
            <w:r w:rsidR="009E2954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="009E2954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уроків, </w:t>
            </w:r>
            <w:r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індивідуальної допомоги</w:t>
            </w:r>
            <w:r w:rsidR="009E2954" w:rsidRPr="009E29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9E2954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обміну досвідом (</w:t>
            </w:r>
            <w:r w:rsidR="009E2954" w:rsidRPr="009E2954">
              <w:rPr>
                <w:rFonts w:ascii="Times New Roman" w:hAnsi="Times New Roman" w:cs="Times New Roman"/>
                <w:sz w:val="28"/>
                <w:szCs w:val="28"/>
              </w:rPr>
              <w:t>консультації, навчальні семінари, майстер-класи</w:t>
            </w:r>
            <w:r w:rsidR="009E2954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). </w:t>
            </w:r>
            <w:r w:rsidR="005B0D0D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Більшість педагогів зазначають ситу</w:t>
            </w:r>
            <w:r w:rsidR="002057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ативний характер такої співпраці</w:t>
            </w:r>
            <w:r w:rsidR="005B0D0D" w:rsidRPr="009E29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5B0D0D" w:rsidRPr="009E29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9E2954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B95A6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114BDE" w:rsidTr="004D48E1">
        <w:tc>
          <w:tcPr>
            <w:tcW w:w="12849" w:type="dxa"/>
          </w:tcPr>
          <w:p w:rsidR="00193B37" w:rsidRPr="00193B37" w:rsidRDefault="00193B37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6457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A1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570" w:type="dxa"/>
          </w:tcPr>
          <w:p w:rsidR="00193B37" w:rsidRPr="00B95A65" w:rsidRDefault="00193B37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4D48E1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93B37" w:rsidRPr="00B95A65" w:rsidRDefault="00193B37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CB07F9" w:rsidTr="001857A1">
        <w:trPr>
          <w:trHeight w:val="1608"/>
        </w:trPr>
        <w:tc>
          <w:tcPr>
            <w:tcW w:w="12849" w:type="dxa"/>
          </w:tcPr>
          <w:p w:rsidR="00193B37" w:rsidRPr="00FA45B5" w:rsidRDefault="001857A1" w:rsidP="001F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3.4.1. </w:t>
            </w:r>
            <w:r w:rsidR="00193B37" w:rsidRPr="00193B37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="00591616">
              <w:rPr>
                <w:rFonts w:ascii="Times New Roman" w:hAnsi="Times New Roman" w:cs="Times New Roman"/>
                <w:sz w:val="28"/>
                <w:szCs w:val="28"/>
              </w:rPr>
              <w:t xml:space="preserve">гічні працівники ліцею </w:t>
            </w:r>
            <w:r w:rsidR="00193B37" w:rsidRPr="00193B37">
              <w:rPr>
                <w:rFonts w:ascii="Times New Roman" w:hAnsi="Times New Roman" w:cs="Times New Roman"/>
                <w:sz w:val="28"/>
                <w:szCs w:val="28"/>
              </w:rPr>
              <w:t>під час проведення педагогічної, наукової (творчої) діяльності діють на засадах академічної доброчесності. Під час анкетування було виявлено, що педагогічні працівники у</w:t>
            </w:r>
            <w:r w:rsidR="00F63B85">
              <w:rPr>
                <w:rFonts w:ascii="Times New Roman" w:hAnsi="Times New Roman" w:cs="Times New Roman"/>
                <w:sz w:val="28"/>
                <w:szCs w:val="28"/>
              </w:rPr>
              <w:t xml:space="preserve"> переважній більшості намагаються дотримувати</w:t>
            </w:r>
            <w:r w:rsidR="00193B37"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ся норм академічної доброчесності </w:t>
            </w:r>
            <w:r w:rsidR="00F63B8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91616">
              <w:rPr>
                <w:rFonts w:ascii="Times New Roman" w:hAnsi="Times New Roman" w:cs="Times New Roman"/>
                <w:sz w:val="28"/>
                <w:szCs w:val="28"/>
              </w:rPr>
              <w:t>педагогічній діяльності: вказують авторство</w:t>
            </w:r>
            <w:r w:rsidR="00F63B85">
              <w:rPr>
                <w:rFonts w:ascii="Times New Roman" w:hAnsi="Times New Roman" w:cs="Times New Roman"/>
                <w:sz w:val="28"/>
                <w:szCs w:val="28"/>
              </w:rPr>
              <w:t>, зазначають джерела, дають посилання на використаний матеріал.</w:t>
            </w:r>
            <w:r w:rsidR="00193B37"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63B85">
              <w:rPr>
                <w:rFonts w:ascii="Times New Roman" w:hAnsi="Times New Roman" w:cs="Times New Roman"/>
                <w:sz w:val="28"/>
                <w:szCs w:val="28"/>
              </w:rPr>
              <w:t>ліцеї розроблено</w:t>
            </w:r>
            <w:r w:rsidR="00193B37"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Положення про академічну доброчесність</w:t>
            </w:r>
            <w:r w:rsidR="00F63B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0" w:type="dxa"/>
          </w:tcPr>
          <w:p w:rsidR="00193B37" w:rsidRPr="00B95A65" w:rsidRDefault="00193B37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93B37" w:rsidRPr="00B95A65" w:rsidRDefault="00193B37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93B37" w:rsidRPr="00B95A65" w:rsidRDefault="00193B37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857A1" w:rsidRPr="00CB07F9" w:rsidTr="00FA45B5">
        <w:trPr>
          <w:trHeight w:val="2568"/>
        </w:trPr>
        <w:tc>
          <w:tcPr>
            <w:tcW w:w="12849" w:type="dxa"/>
          </w:tcPr>
          <w:p w:rsidR="001857A1" w:rsidRDefault="001857A1" w:rsidP="001F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 За результатами анкетування 62,5% педагогів знайомлять учнів з основами авторського права, 100%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проводять бесіди щодо дотримання академічної доброчесності, 68,8% педагогів дають творчі завдання, які унеможливлюють списування, 12,5% педагогів використовують методичні розробки для формування основ академічної доброчесності. 66,7% учнів зазначили, що педагоги регулярно проводять бесіди про неприпустимість списування та плагіату, 20,8% учнів вважають, що педагоги проводять такі бесіди нерегулярно, 6,3% учнів стверджують, що такі бесіди з ними проводять тільки на початку навчального року, 4,2% учнів впевнені, що таких бесід з ними не проводили, а 2,1% учнів взагалі не розуміють про що йдеться. </w:t>
            </w:r>
          </w:p>
        </w:tc>
        <w:tc>
          <w:tcPr>
            <w:tcW w:w="570" w:type="dxa"/>
          </w:tcPr>
          <w:p w:rsidR="001857A1" w:rsidRPr="00B95A65" w:rsidRDefault="001857A1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1857A1" w:rsidRPr="00155E45" w:rsidRDefault="001857A1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uk-UA"/>
              </w:rPr>
            </w:pPr>
            <w:r w:rsidRPr="00383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</w:tcPr>
          <w:p w:rsidR="001857A1" w:rsidRPr="00B95A65" w:rsidRDefault="001857A1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1857A1" w:rsidRPr="00B95A65" w:rsidRDefault="001857A1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FA45B5" w:rsidRPr="00007989" w:rsidTr="001408EA">
        <w:trPr>
          <w:trHeight w:val="2903"/>
        </w:trPr>
        <w:tc>
          <w:tcPr>
            <w:tcW w:w="12849" w:type="dxa"/>
          </w:tcPr>
          <w:p w:rsidR="00FA45B5" w:rsidRDefault="00FA45B5" w:rsidP="00FA4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Висновки і рекомендації за напрямом </w:t>
            </w:r>
            <w:r w:rsidRPr="004D48E1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«ПЕДАГОГІЧНА ДІЯЛЬНІСТЬ ПЕДАГОГІЧНИХ ПРАЦІВНИКІВ»</w:t>
            </w: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5B5" w:rsidRDefault="00FA45B5" w:rsidP="00FA4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Рівень оцінювання якості освітньої діяльності закладу освіти </w:t>
            </w:r>
          </w:p>
          <w:p w:rsidR="00FA45B5" w:rsidRDefault="00FA45B5" w:rsidP="00FA4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3.1. Ефективність планування педагогічними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працівниками. </w:t>
            </w:r>
            <w:r w:rsidRPr="004D4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Достатній </w:t>
            </w:r>
          </w:p>
          <w:p w:rsidR="00FA45B5" w:rsidRPr="00155E45" w:rsidRDefault="00FA45B5" w:rsidP="00FA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3.2. Постійне підвищення професійного рівня і педагогічної майстерності педагогічних працівників </w:t>
            </w:r>
            <w:r w:rsidR="00155E45">
              <w:rPr>
                <w:rFonts w:ascii="Times New Roman" w:hAnsi="Times New Roman" w:cs="Times New Roman"/>
                <w:b/>
                <w:sz w:val="28"/>
                <w:szCs w:val="28"/>
              </w:rPr>
              <w:t>Вимагає покращення</w:t>
            </w:r>
          </w:p>
          <w:p w:rsidR="00FA45B5" w:rsidRPr="00193B37" w:rsidRDefault="00FA45B5" w:rsidP="001F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3.3. Налагодження співпраці зі здобувачами освіти, їх батьками, працівниками закладу освіти </w:t>
            </w:r>
            <w:r w:rsidRPr="004D48E1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3.4. Організація педагогічної діяльності та навчання здобувачів освіти на засадах академічної доброчесності </w:t>
            </w:r>
            <w:r w:rsidRPr="004D48E1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</w:tcPr>
          <w:p w:rsidR="00FA45B5" w:rsidRPr="00B95A65" w:rsidRDefault="00FA45B5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FA45B5" w:rsidRPr="00B95A65" w:rsidRDefault="00FA45B5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FA45B5" w:rsidRPr="00B95A65" w:rsidRDefault="00FA45B5" w:rsidP="00205724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</w:tcPr>
          <w:p w:rsidR="00FA45B5" w:rsidRPr="00B95A65" w:rsidRDefault="00FA45B5" w:rsidP="00205724">
            <w:pPr>
              <w:shd w:val="clear" w:color="auto" w:fill="FFFFFF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193B37" w:rsidRPr="00007989" w:rsidTr="004D48E1">
        <w:tc>
          <w:tcPr>
            <w:tcW w:w="12849" w:type="dxa"/>
          </w:tcPr>
          <w:p w:rsidR="00193B37" w:rsidRDefault="00193B37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408EA" w:rsidRDefault="001408EA" w:rsidP="00114BDE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Рекомендації педагогічним працівникам: </w:t>
            </w:r>
          </w:p>
          <w:p w:rsidR="001408EA" w:rsidRPr="00007989" w:rsidRDefault="001408EA" w:rsidP="00007989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EA">
              <w:rPr>
                <w:rFonts w:ascii="Times New Roman" w:hAnsi="Times New Roman" w:cs="Times New Roman"/>
                <w:sz w:val="28"/>
                <w:szCs w:val="28"/>
              </w:rPr>
              <w:t>активізувати роботу професійних спільнот педагогічних працівників</w:t>
            </w:r>
            <w:r w:rsidR="00193B37" w:rsidRPr="00140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обміну досвідом; </w:t>
            </w:r>
            <w:bookmarkStart w:id="0" w:name="_GoBack"/>
            <w:bookmarkEnd w:id="0"/>
          </w:p>
          <w:p w:rsidR="00155E45" w:rsidRDefault="00193B37" w:rsidP="00114BDE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39">
              <w:rPr>
                <w:rFonts w:ascii="Times New Roman" w:hAnsi="Times New Roman" w:cs="Times New Roman"/>
                <w:sz w:val="28"/>
                <w:szCs w:val="28"/>
              </w:rPr>
              <w:t xml:space="preserve">− більше уваги приділяти формуванню підприємливості, екологічної грамотності і здорового життя як важливих </w:t>
            </w:r>
            <w:proofErr w:type="spellStart"/>
            <w:r w:rsidRPr="00F75E3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155E45">
              <w:rPr>
                <w:rFonts w:ascii="Times New Roman" w:hAnsi="Times New Roman" w:cs="Times New Roman"/>
                <w:sz w:val="28"/>
                <w:szCs w:val="28"/>
              </w:rPr>
              <w:t>петентностей</w:t>
            </w:r>
            <w:proofErr w:type="spellEnd"/>
            <w:r w:rsidR="00155E45">
              <w:rPr>
                <w:rFonts w:ascii="Times New Roman" w:hAnsi="Times New Roman" w:cs="Times New Roman"/>
                <w:sz w:val="28"/>
                <w:szCs w:val="28"/>
              </w:rPr>
              <w:t xml:space="preserve"> випускника закладу;</w:t>
            </w:r>
          </w:p>
          <w:p w:rsidR="00193B37" w:rsidRPr="00F75E39" w:rsidRDefault="00193B37" w:rsidP="00114BDE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39">
              <w:rPr>
                <w:rFonts w:ascii="Times New Roman" w:hAnsi="Times New Roman" w:cs="Times New Roman"/>
                <w:sz w:val="28"/>
                <w:szCs w:val="28"/>
              </w:rPr>
              <w:t>− використовувати дослідницькі методи навчання, ставити і вирішувати проблемні питання, розв’язувати завдання практичного характеру, пов’язувати навчальний матеріал із життям;</w:t>
            </w:r>
          </w:p>
          <w:p w:rsidR="00193B37" w:rsidRPr="00F75E39" w:rsidRDefault="00193B37" w:rsidP="00114BDE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39">
              <w:rPr>
                <w:rFonts w:ascii="Times New Roman" w:hAnsi="Times New Roman" w:cs="Times New Roman"/>
                <w:sz w:val="28"/>
                <w:szCs w:val="28"/>
              </w:rPr>
              <w:t xml:space="preserve"> − більше уваги приділяти розвитку в учнів навичок </w:t>
            </w:r>
            <w:r w:rsidR="00080FB3">
              <w:rPr>
                <w:rFonts w:ascii="Times New Roman" w:hAnsi="Times New Roman" w:cs="Times New Roman"/>
                <w:sz w:val="28"/>
                <w:szCs w:val="28"/>
              </w:rPr>
              <w:t xml:space="preserve">самооцінювання та </w:t>
            </w:r>
            <w:proofErr w:type="spellStart"/>
            <w:r w:rsidR="00080FB3"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="00080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B37" w:rsidRPr="00F75E39" w:rsidRDefault="00193B37" w:rsidP="00F75E39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 обов’язковому порядку пояснювати критерії оцінювання форм роботи, які на уроці виконуються учнями, та виставлені їм оцінки;</w:t>
            </w:r>
          </w:p>
          <w:p w:rsidR="00193B37" w:rsidRPr="00F75E39" w:rsidRDefault="004D48E1" w:rsidP="00F75E3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>під час освітнього процесу формувати у здобувачів освіти відповідальне ставлення до навчання у усвідомлення його важливості для подальшого життя;</w:t>
            </w:r>
          </w:p>
          <w:p w:rsidR="00193B37" w:rsidRPr="00080FB3" w:rsidRDefault="00193B37" w:rsidP="00F75E3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75E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розроблення та розміщення вчителями власних </w:t>
            </w:r>
            <w:r w:rsidR="00080F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цифрових продуктів</w:t>
            </w:r>
            <w:r w:rsidRPr="00F75E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(тестові завдання, </w:t>
            </w:r>
            <w:r w:rsidR="00080F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ігрові завдання, </w:t>
            </w:r>
            <w:r w:rsidRPr="00F75E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сценарії, розробки, матеріали для дистанційного навчання);</w:t>
            </w:r>
          </w:p>
          <w:p w:rsidR="00080FB3" w:rsidRPr="00F75E39" w:rsidRDefault="00080FB3" w:rsidP="00F75E3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здійснювати регулярне поповнення методичних блогів актуальними матеріалами;</w:t>
            </w:r>
          </w:p>
          <w:p w:rsidR="001F6A03" w:rsidRPr="001F6A03" w:rsidRDefault="00193B37" w:rsidP="00F75E3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75E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покращ</w:t>
            </w:r>
            <w:r w:rsidR="00080F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ити зворотній зв’язок з учнями та батьками через електронні щоденники;</w:t>
            </w:r>
          </w:p>
          <w:p w:rsidR="00193B37" w:rsidRPr="00F75E39" w:rsidRDefault="001F6A03" w:rsidP="00F75E3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кваліфікації, вдосконалення професійн</w:t>
            </w:r>
            <w:r w:rsidR="00080FB3">
              <w:rPr>
                <w:rFonts w:ascii="Times New Roman" w:hAnsi="Times New Roman" w:cs="Times New Roman"/>
                <w:sz w:val="28"/>
                <w:szCs w:val="28"/>
              </w:rPr>
              <w:t>ого розвитку адміністрації ліцею сприяти проходженню</w:t>
            </w:r>
            <w:r w:rsidRPr="00193B3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80FB3">
              <w:rPr>
                <w:rFonts w:ascii="Times New Roman" w:hAnsi="Times New Roman" w:cs="Times New Roman"/>
                <w:sz w:val="28"/>
                <w:szCs w:val="28"/>
              </w:rPr>
              <w:t xml:space="preserve">ічними працівниками  сертифікації, залучати до експертної та </w:t>
            </w:r>
            <w:proofErr w:type="spellStart"/>
            <w:r w:rsidR="00080FB3">
              <w:rPr>
                <w:rFonts w:ascii="Times New Roman" w:hAnsi="Times New Roman" w:cs="Times New Roman"/>
                <w:sz w:val="28"/>
                <w:szCs w:val="28"/>
              </w:rPr>
              <w:t>іноваційної</w:t>
            </w:r>
            <w:proofErr w:type="spellEnd"/>
            <w:r w:rsidR="00080FB3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діяльності;</w:t>
            </w:r>
          </w:p>
          <w:p w:rsidR="00193B37" w:rsidRPr="00F75E39" w:rsidRDefault="00193B37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93B37" w:rsidRPr="00B95A65" w:rsidRDefault="00193B37" w:rsidP="00B95A65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" w:type="dxa"/>
          </w:tcPr>
          <w:p w:rsidR="00193B37" w:rsidRDefault="00193B37" w:rsidP="003C3674">
            <w:pPr>
              <w:pStyle w:val="a4"/>
              <w:shd w:val="clear" w:color="auto" w:fill="FFFFFF"/>
              <w:jc w:val="both"/>
            </w:pPr>
          </w:p>
        </w:tc>
        <w:tc>
          <w:tcPr>
            <w:tcW w:w="720" w:type="dxa"/>
            <w:gridSpan w:val="2"/>
          </w:tcPr>
          <w:p w:rsidR="00193B37" w:rsidRDefault="00193B37" w:rsidP="003C3674">
            <w:pPr>
              <w:pStyle w:val="a4"/>
              <w:shd w:val="clear" w:color="auto" w:fill="FFFFFF"/>
              <w:jc w:val="both"/>
            </w:pPr>
          </w:p>
        </w:tc>
        <w:tc>
          <w:tcPr>
            <w:tcW w:w="710" w:type="dxa"/>
          </w:tcPr>
          <w:p w:rsidR="00193B37" w:rsidRDefault="00193B37" w:rsidP="003C3674">
            <w:pPr>
              <w:pStyle w:val="a4"/>
              <w:shd w:val="clear" w:color="auto" w:fill="FFFFFF"/>
              <w:jc w:val="both"/>
            </w:pPr>
          </w:p>
        </w:tc>
        <w:tc>
          <w:tcPr>
            <w:tcW w:w="710" w:type="dxa"/>
          </w:tcPr>
          <w:p w:rsidR="00193B37" w:rsidRDefault="00193B37" w:rsidP="003C3674">
            <w:pPr>
              <w:pStyle w:val="a4"/>
              <w:shd w:val="clear" w:color="auto" w:fill="FFFFFF"/>
              <w:jc w:val="both"/>
            </w:pPr>
          </w:p>
        </w:tc>
      </w:tr>
    </w:tbl>
    <w:p w:rsidR="00B95A65" w:rsidRPr="003C3674" w:rsidRDefault="00B95A65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65" w:rsidRPr="003C3674" w:rsidRDefault="00B95A65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95A65" w:rsidRPr="003C3674" w:rsidRDefault="00B95A65" w:rsidP="00B95A6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93B37" w:rsidRPr="00F615A3" w:rsidRDefault="00080FB3" w:rsidP="00193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</w:t>
      </w:r>
      <w:r w:rsidR="001F6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95A65" w:rsidRPr="00B95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B95A65" w:rsidRPr="00B9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B95A65" w:rsidRPr="00B95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__________________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Неля БРАЩЕНКО</w:t>
      </w:r>
      <w:r w:rsidR="00B95A65" w:rsidRPr="00B95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14D97" w:rsidRPr="00F615A3" w:rsidRDefault="00914D97" w:rsidP="00F615A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14D97" w:rsidRPr="00F615A3" w:rsidSect="00D2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10" w:rsidRDefault="00AC2610" w:rsidP="00D23318">
      <w:pPr>
        <w:spacing w:after="0" w:line="240" w:lineRule="auto"/>
      </w:pPr>
      <w:r>
        <w:separator/>
      </w:r>
    </w:p>
  </w:endnote>
  <w:endnote w:type="continuationSeparator" w:id="0">
    <w:p w:rsidR="00AC2610" w:rsidRDefault="00AC2610" w:rsidP="00D2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10" w:rsidRDefault="00AC2610" w:rsidP="00D23318">
      <w:pPr>
        <w:spacing w:after="0" w:line="240" w:lineRule="auto"/>
      </w:pPr>
      <w:r>
        <w:separator/>
      </w:r>
    </w:p>
  </w:footnote>
  <w:footnote w:type="continuationSeparator" w:id="0">
    <w:p w:rsidR="00AC2610" w:rsidRDefault="00AC2610" w:rsidP="00D2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0" w:rsidRDefault="00AC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643"/>
    <w:multiLevelType w:val="multilevel"/>
    <w:tmpl w:val="D0C0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7A94"/>
    <w:multiLevelType w:val="hybridMultilevel"/>
    <w:tmpl w:val="0F18531E"/>
    <w:lvl w:ilvl="0" w:tplc="BE3ED8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6629"/>
    <w:multiLevelType w:val="hybridMultilevel"/>
    <w:tmpl w:val="FE7455F0"/>
    <w:lvl w:ilvl="0" w:tplc="1C66F600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4D3D"/>
    <w:multiLevelType w:val="multilevel"/>
    <w:tmpl w:val="74648CFE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  <w:rPr>
        <w:lang w:val="ru-RU"/>
      </w:r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6D8445E"/>
    <w:multiLevelType w:val="hybridMultilevel"/>
    <w:tmpl w:val="72A492A2"/>
    <w:lvl w:ilvl="0" w:tplc="0E94C8A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65"/>
    <w:rsid w:val="00007989"/>
    <w:rsid w:val="000448DC"/>
    <w:rsid w:val="000533B6"/>
    <w:rsid w:val="00080FB3"/>
    <w:rsid w:val="000B4A28"/>
    <w:rsid w:val="0011349D"/>
    <w:rsid w:val="00114BDE"/>
    <w:rsid w:val="00135BD3"/>
    <w:rsid w:val="001408EA"/>
    <w:rsid w:val="00155E45"/>
    <w:rsid w:val="0017094E"/>
    <w:rsid w:val="00177481"/>
    <w:rsid w:val="001857A1"/>
    <w:rsid w:val="00193B37"/>
    <w:rsid w:val="001F6A03"/>
    <w:rsid w:val="00205724"/>
    <w:rsid w:val="00217BD1"/>
    <w:rsid w:val="00252800"/>
    <w:rsid w:val="002A4364"/>
    <w:rsid w:val="002D2EAC"/>
    <w:rsid w:val="00370354"/>
    <w:rsid w:val="00381B0C"/>
    <w:rsid w:val="00383328"/>
    <w:rsid w:val="003C35DE"/>
    <w:rsid w:val="003C3674"/>
    <w:rsid w:val="00433F92"/>
    <w:rsid w:val="00441C4C"/>
    <w:rsid w:val="00446E24"/>
    <w:rsid w:val="004D0724"/>
    <w:rsid w:val="004D48E1"/>
    <w:rsid w:val="00567D87"/>
    <w:rsid w:val="00576457"/>
    <w:rsid w:val="0058706B"/>
    <w:rsid w:val="00591616"/>
    <w:rsid w:val="005B0D0D"/>
    <w:rsid w:val="005B70F8"/>
    <w:rsid w:val="005F270A"/>
    <w:rsid w:val="0062490D"/>
    <w:rsid w:val="00677B2D"/>
    <w:rsid w:val="006C733E"/>
    <w:rsid w:val="00711B91"/>
    <w:rsid w:val="00727928"/>
    <w:rsid w:val="007910ED"/>
    <w:rsid w:val="007A05E1"/>
    <w:rsid w:val="008622F3"/>
    <w:rsid w:val="00892DAE"/>
    <w:rsid w:val="008D3CAC"/>
    <w:rsid w:val="00914D97"/>
    <w:rsid w:val="00943AE6"/>
    <w:rsid w:val="009C2A2A"/>
    <w:rsid w:val="009E2954"/>
    <w:rsid w:val="00A534B1"/>
    <w:rsid w:val="00A9037E"/>
    <w:rsid w:val="00AC2610"/>
    <w:rsid w:val="00AF5BCC"/>
    <w:rsid w:val="00B95A65"/>
    <w:rsid w:val="00BE7788"/>
    <w:rsid w:val="00C84060"/>
    <w:rsid w:val="00CB07F9"/>
    <w:rsid w:val="00CE0172"/>
    <w:rsid w:val="00D21B50"/>
    <w:rsid w:val="00D23318"/>
    <w:rsid w:val="00DB2814"/>
    <w:rsid w:val="00DF3130"/>
    <w:rsid w:val="00E05136"/>
    <w:rsid w:val="00E75395"/>
    <w:rsid w:val="00ED4A58"/>
    <w:rsid w:val="00F14C7C"/>
    <w:rsid w:val="00F1547D"/>
    <w:rsid w:val="00F24427"/>
    <w:rsid w:val="00F615A3"/>
    <w:rsid w:val="00F63B85"/>
    <w:rsid w:val="00F733A5"/>
    <w:rsid w:val="00F75E39"/>
    <w:rsid w:val="00FA45B5"/>
    <w:rsid w:val="00FC01F3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204F"/>
  <w15:docId w15:val="{62BE4890-68A2-4696-A270-85C4940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6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36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12101</Words>
  <Characters>6899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2024-06-03T08:07:00Z</dcterms:created>
  <dcterms:modified xsi:type="dcterms:W3CDTF">2024-06-14T06:57:00Z</dcterms:modified>
</cp:coreProperties>
</file>