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366E" w:rsidRPr="00392C80" w:rsidTr="00477EBA">
        <w:tc>
          <w:tcPr>
            <w:tcW w:w="4785" w:type="dxa"/>
          </w:tcPr>
          <w:p w:rsidR="0032366E" w:rsidRDefault="0032366E" w:rsidP="00477EBA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СХВАЛЕНО</w:t>
            </w:r>
          </w:p>
          <w:p w:rsidR="0032366E" w:rsidRDefault="0032366E" w:rsidP="00477EBA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педагогічної ради</w:t>
            </w:r>
          </w:p>
          <w:p w:rsidR="0032366E" w:rsidRPr="00375DE9" w:rsidRDefault="00392C80" w:rsidP="00477EBA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№  1 </w:t>
            </w:r>
            <w:r w:rsidR="00323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 w:rsidR="000372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30.08.21</w:t>
            </w:r>
            <w:r w:rsidR="00323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786" w:type="dxa"/>
          </w:tcPr>
          <w:p w:rsidR="0032366E" w:rsidRPr="00D542FA" w:rsidRDefault="0032366E" w:rsidP="00477E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32366E" w:rsidRPr="00D542FA" w:rsidRDefault="0032366E" w:rsidP="00C636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4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Наказом директора </w:t>
            </w:r>
            <w:proofErr w:type="spellStart"/>
            <w:r w:rsidR="00C63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Новообиходівського</w:t>
            </w:r>
            <w:proofErr w:type="spellEnd"/>
            <w:r w:rsidR="00C63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ліцею </w:t>
            </w:r>
            <w:proofErr w:type="spellStart"/>
            <w:r w:rsidR="00C63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Райгородської</w:t>
            </w:r>
            <w:proofErr w:type="spellEnd"/>
            <w:r w:rsidR="00C636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Вінницької області </w:t>
            </w:r>
            <w:r w:rsidRPr="00D54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 </w:t>
            </w:r>
            <w:r w:rsidR="00D54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Pr="00D542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32366E" w:rsidRPr="00375DE9" w:rsidRDefault="0032366E" w:rsidP="003236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2366E" w:rsidRPr="0032366E" w:rsidRDefault="0032366E" w:rsidP="0032366E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val="uk-UA" w:eastAsia="ru-RU"/>
        </w:rPr>
      </w:pPr>
    </w:p>
    <w:p w:rsidR="00573F6D" w:rsidRPr="00573F6D" w:rsidRDefault="00573F6D" w:rsidP="00252175">
      <w:pPr>
        <w:spacing w:after="0" w:line="240" w:lineRule="auto"/>
        <w:jc w:val="center"/>
        <w:outlineLvl w:val="0"/>
        <w:rPr>
          <w:rFonts w:ascii="Preciosa" w:eastAsia="Times New Roman" w:hAnsi="Preciosa" w:cs="Times New Roman"/>
          <w:kern w:val="36"/>
          <w:sz w:val="36"/>
          <w:szCs w:val="36"/>
          <w:u w:val="single"/>
          <w:lang w:val="uk-UA" w:eastAsia="ru-RU"/>
        </w:rPr>
      </w:pPr>
    </w:p>
    <w:p w:rsidR="00573F6D" w:rsidRPr="00573F6D" w:rsidRDefault="00573F6D" w:rsidP="00252175">
      <w:pPr>
        <w:spacing w:after="0" w:line="240" w:lineRule="auto"/>
        <w:jc w:val="center"/>
        <w:outlineLvl w:val="0"/>
        <w:rPr>
          <w:rFonts w:ascii="Preciosa" w:eastAsia="Times New Roman" w:hAnsi="Preciosa" w:cs="Times New Roman"/>
          <w:kern w:val="36"/>
          <w:sz w:val="36"/>
          <w:szCs w:val="36"/>
          <w:u w:val="single"/>
          <w:lang w:val="uk-UA" w:eastAsia="ru-RU"/>
        </w:rPr>
      </w:pPr>
    </w:p>
    <w:p w:rsidR="00573F6D" w:rsidRPr="00573F6D" w:rsidRDefault="00573F6D" w:rsidP="00252175">
      <w:pPr>
        <w:spacing w:after="0" w:line="240" w:lineRule="auto"/>
        <w:jc w:val="center"/>
        <w:outlineLvl w:val="0"/>
        <w:rPr>
          <w:rFonts w:ascii="Preciosa" w:eastAsia="Times New Roman" w:hAnsi="Preciosa" w:cs="Times New Roman"/>
          <w:kern w:val="36"/>
          <w:sz w:val="36"/>
          <w:szCs w:val="36"/>
          <w:u w:val="single"/>
          <w:lang w:val="uk-UA" w:eastAsia="ru-RU"/>
        </w:rPr>
      </w:pPr>
    </w:p>
    <w:p w:rsidR="0032366E" w:rsidRPr="003C401F" w:rsidRDefault="00573F6D" w:rsidP="00252175">
      <w:pPr>
        <w:spacing w:after="0" w:line="240" w:lineRule="auto"/>
        <w:jc w:val="center"/>
        <w:outlineLvl w:val="0"/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</w:pPr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>ПОРЯДОК</w:t>
      </w:r>
    </w:p>
    <w:p w:rsidR="003C401F" w:rsidRDefault="00573F6D" w:rsidP="00252175">
      <w:pPr>
        <w:spacing w:after="0" w:line="240" w:lineRule="auto"/>
        <w:jc w:val="center"/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</w:pPr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 xml:space="preserve">подання та розгляду </w:t>
      </w:r>
    </w:p>
    <w:p w:rsidR="00573F6D" w:rsidRPr="003C401F" w:rsidRDefault="00573F6D" w:rsidP="00252175">
      <w:pPr>
        <w:spacing w:after="0" w:line="240" w:lineRule="auto"/>
        <w:jc w:val="center"/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</w:pPr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 xml:space="preserve">(з дотриманням конфіденційності) </w:t>
      </w:r>
    </w:p>
    <w:p w:rsidR="003C401F" w:rsidRDefault="00573F6D" w:rsidP="00252175">
      <w:pPr>
        <w:spacing w:after="0" w:line="240" w:lineRule="auto"/>
        <w:jc w:val="center"/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</w:pPr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 xml:space="preserve">заяв про випадки </w:t>
      </w:r>
      <w:proofErr w:type="spellStart"/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>булінгу</w:t>
      </w:r>
      <w:proofErr w:type="spellEnd"/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 xml:space="preserve"> (цькування) </w:t>
      </w:r>
    </w:p>
    <w:p w:rsidR="00C636C6" w:rsidRDefault="00573F6D" w:rsidP="00C636C6">
      <w:pPr>
        <w:spacing w:after="0" w:line="240" w:lineRule="auto"/>
        <w:jc w:val="center"/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</w:pPr>
      <w:r w:rsidRPr="003C401F">
        <w:rPr>
          <w:rFonts w:ascii="Aelita Victorian" w:eastAsia="Times New Roman" w:hAnsi="Aelita Victorian" w:cs="Times New Roman"/>
          <w:b/>
          <w:kern w:val="36"/>
          <w:sz w:val="44"/>
          <w:szCs w:val="36"/>
          <w:lang w:val="uk-UA" w:eastAsia="ru-RU"/>
        </w:rPr>
        <w:t xml:space="preserve">в </w:t>
      </w:r>
      <w:proofErr w:type="spellStart"/>
      <w:r w:rsidR="00C636C6"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  <w:t>Новообиходівському</w:t>
      </w:r>
      <w:proofErr w:type="spellEnd"/>
      <w:r w:rsidR="00C636C6"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  <w:t xml:space="preserve"> ліцеї </w:t>
      </w:r>
    </w:p>
    <w:p w:rsidR="00C636C6" w:rsidRDefault="00C636C6" w:rsidP="00C636C6">
      <w:pPr>
        <w:spacing w:after="0" w:line="240" w:lineRule="auto"/>
        <w:jc w:val="center"/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</w:pPr>
      <w:proofErr w:type="spellStart"/>
      <w:r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  <w:t>Райгородської</w:t>
      </w:r>
      <w:proofErr w:type="spellEnd"/>
      <w:r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  <w:t xml:space="preserve"> сільської ради</w:t>
      </w:r>
    </w:p>
    <w:p w:rsidR="0032366E" w:rsidRPr="003C401F" w:rsidRDefault="00C636C6" w:rsidP="00C636C6">
      <w:pPr>
        <w:spacing w:after="0" w:line="240" w:lineRule="auto"/>
        <w:jc w:val="center"/>
        <w:rPr>
          <w:rFonts w:ascii="Aelita Victorian" w:eastAsia="Times New Roman" w:hAnsi="Aelita Victorian" w:cs="Cambria"/>
          <w:b/>
          <w:sz w:val="44"/>
          <w:szCs w:val="36"/>
          <w:lang w:val="uk-UA" w:eastAsia="ru-RU"/>
        </w:rPr>
      </w:pPr>
      <w:r>
        <w:rPr>
          <w:rFonts w:ascii="Aelita Victorian" w:eastAsia="Times New Roman" w:hAnsi="Aelita Victorian" w:cs="Times New Roman"/>
          <w:b/>
          <w:sz w:val="44"/>
          <w:szCs w:val="36"/>
          <w:lang w:val="uk-UA" w:eastAsia="ru-RU"/>
        </w:rPr>
        <w:t xml:space="preserve"> Вінницької області</w:t>
      </w:r>
    </w:p>
    <w:p w:rsidR="00573F6D" w:rsidRPr="00573F6D" w:rsidRDefault="00573F6D" w:rsidP="00252175">
      <w:pPr>
        <w:spacing w:after="0" w:line="240" w:lineRule="auto"/>
        <w:jc w:val="center"/>
        <w:rPr>
          <w:rFonts w:ascii="Aelita Victorian" w:eastAsia="Times New Roman" w:hAnsi="Aelita Victorian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573F6D" w:rsidRDefault="00573F6D" w:rsidP="00252175">
      <w:pPr>
        <w:spacing w:after="0" w:line="240" w:lineRule="auto"/>
        <w:jc w:val="center"/>
        <w:rPr>
          <w:rFonts w:ascii="Cambria" w:eastAsia="Times New Roman" w:hAnsi="Cambria" w:cs="Cambria"/>
          <w:sz w:val="36"/>
          <w:szCs w:val="36"/>
          <w:u w:val="single"/>
          <w:lang w:val="uk-UA" w:eastAsia="ru-RU"/>
        </w:rPr>
      </w:pPr>
    </w:p>
    <w:p w:rsidR="00E00FA9" w:rsidRPr="00252175" w:rsidRDefault="00E00FA9" w:rsidP="00252175">
      <w:pPr>
        <w:spacing w:after="0" w:line="240" w:lineRule="auto"/>
        <w:jc w:val="center"/>
        <w:rPr>
          <w:rFonts w:ascii="Preciosa" w:eastAsia="Times New Roman" w:hAnsi="Preciosa" w:cs="Times New Roman"/>
          <w:sz w:val="36"/>
          <w:szCs w:val="36"/>
          <w:u w:val="single"/>
          <w:lang w:val="uk-UA" w:eastAsia="ru-RU"/>
        </w:rPr>
      </w:pPr>
    </w:p>
    <w:p w:rsidR="0032366E" w:rsidRPr="00392C80" w:rsidRDefault="0032366E" w:rsidP="002432A8">
      <w:pPr>
        <w:pStyle w:val="a5"/>
        <w:numPr>
          <w:ilvl w:val="0"/>
          <w:numId w:val="2"/>
        </w:numPr>
        <w:spacing w:after="0" w:line="360" w:lineRule="auto"/>
        <w:ind w:left="-142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Загальні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оложення</w:t>
      </w:r>
      <w:bookmarkStart w:id="0" w:name="_GoBack"/>
      <w:bookmarkEnd w:id="0"/>
      <w:proofErr w:type="spellEnd"/>
    </w:p>
    <w:p w:rsidR="002432A8" w:rsidRPr="00392C80" w:rsidRDefault="00CA0CEB" w:rsidP="002432A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Порядок розроблено відповідно до Закону України «Про внесення змін до деяких законодавчих актів України щодо протидії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(цькуванню)», </w:t>
      </w:r>
      <w:r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 xml:space="preserve">Порядку реагування на випадки </w:t>
      </w:r>
      <w:proofErr w:type="spellStart"/>
      <w:r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 xml:space="preserve"> (цькування)</w:t>
      </w:r>
      <w:r w:rsidR="002432A8"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 xml:space="preserve">   </w:t>
      </w:r>
    </w:p>
    <w:p w:rsidR="0032366E" w:rsidRPr="00392C80" w:rsidRDefault="002432A8" w:rsidP="002432A8">
      <w:pPr>
        <w:pStyle w:val="a5"/>
        <w:shd w:val="clear" w:color="auto" w:fill="FFFFFF"/>
        <w:spacing w:after="0" w:line="36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>(</w:t>
      </w:r>
      <w:r w:rsidR="00CA0CEB"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наказом Міністерства освіти і науки України від 28.12.2019р. грудня № 1646),  </w:t>
      </w:r>
      <w:r w:rsidR="00CA0CEB"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>Порядку</w:t>
      </w:r>
      <w:r w:rsidR="00CA0CEB" w:rsidRPr="00392C80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A0CEB"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>застосування заходів виховного впливу</w:t>
      </w:r>
      <w:r w:rsidRPr="00392C80"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  <w:lang w:val="uk-UA" w:eastAsia="ru-RU"/>
        </w:rPr>
        <w:t xml:space="preserve"> </w:t>
      </w:r>
      <w:r w:rsidR="00CA0CEB" w:rsidRPr="00392C80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uk-UA" w:eastAsia="ru-RU"/>
        </w:rPr>
        <w:t>(</w:t>
      </w:r>
      <w:r w:rsidR="00CA0CEB"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Затверджено наказом Міністерства освіти і науки України від 28.12.2019р. грудня № 1646)</w:t>
      </w:r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2366E" w:rsidRPr="00392C80" w:rsidRDefault="0032366E" w:rsidP="002432A8">
      <w:pPr>
        <w:pStyle w:val="a5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Порядок визначає процедуру подання та розгляду заяв про випадки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(цькуванню).</w:t>
      </w:r>
    </w:p>
    <w:p w:rsidR="0032366E" w:rsidRPr="00392C80" w:rsidRDefault="0032366E" w:rsidP="002432A8">
      <w:pPr>
        <w:pStyle w:val="a5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Заявниками можуть бути здобувачі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батьки/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32366E" w:rsidRPr="00392C80" w:rsidRDefault="0032366E" w:rsidP="002432A8">
      <w:pPr>
        <w:pStyle w:val="a5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повноту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66E" w:rsidRPr="00392C80" w:rsidRDefault="0032366E" w:rsidP="002432A8">
      <w:pPr>
        <w:pStyle w:val="a5"/>
        <w:numPr>
          <w:ilvl w:val="1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66E" w:rsidRPr="00392C80" w:rsidRDefault="0032366E" w:rsidP="002432A8">
      <w:pPr>
        <w:spacing w:after="0" w:line="360" w:lineRule="auto"/>
        <w:ind w:left="284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Булінг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полягають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сексуальному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вчиняються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особита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)такою особою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 бути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66E" w:rsidRPr="00392C80" w:rsidRDefault="0032366E" w:rsidP="002432A8">
      <w:pPr>
        <w:spacing w:after="0" w:line="360" w:lineRule="auto"/>
        <w:ind w:hanging="284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Типовими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ознаками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є:</w:t>
      </w:r>
    </w:p>
    <w:p w:rsidR="0032366E" w:rsidRPr="00392C80" w:rsidRDefault="0032366E" w:rsidP="002432A8">
      <w:pPr>
        <w:pStyle w:val="a5"/>
        <w:numPr>
          <w:ilvl w:val="0"/>
          <w:numId w:val="19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повторюваність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66E" w:rsidRPr="00392C80" w:rsidRDefault="0032366E" w:rsidP="002432A8">
      <w:pPr>
        <w:pStyle w:val="a5"/>
        <w:numPr>
          <w:ilvl w:val="0"/>
          <w:numId w:val="19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булер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(жертва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спостерігачі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366E" w:rsidRPr="00392C80" w:rsidRDefault="0032366E" w:rsidP="002432A8">
      <w:pPr>
        <w:pStyle w:val="a5"/>
        <w:numPr>
          <w:ilvl w:val="0"/>
          <w:numId w:val="19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наслідком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приниження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страх,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ідпорядкування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кривдника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та/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CBD" w:rsidRPr="00392C80" w:rsidRDefault="00F91CBD" w:rsidP="00F91CBD">
      <w:pPr>
        <w:pStyle w:val="a5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B09" w:rsidRPr="00392C80" w:rsidRDefault="0032366E" w:rsidP="00E91B09">
      <w:pPr>
        <w:pStyle w:val="a5"/>
        <w:numPr>
          <w:ilvl w:val="0"/>
          <w:numId w:val="3"/>
        </w:numPr>
        <w:spacing w:after="0" w:line="360" w:lineRule="auto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Подання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 про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випадки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</w:t>
      </w:r>
      <w:proofErr w:type="gram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інгу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учасниками або свідками якого стали, або підозрюють його вчинення по відношенню до інших осіб за зовнішніми ознаками, або про які отримали достовірну інформацію від інших осіб зобов’язані повідомляти керівнику закладу.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 та неупереджене з’ясування обставин випадків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здійснюється відповідно до поданих заявниками заяв про випад</w:t>
      </w:r>
      <w:r w:rsidR="003E3F7F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 </w:t>
      </w:r>
      <w:proofErr w:type="spellStart"/>
      <w:r w:rsidR="003E3F7F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3E3F7F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(далі – з</w:t>
      </w: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аява).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Заяви, що надійшли на електронну пошту закладу отримує </w:t>
      </w:r>
      <w:r w:rsidR="002432A8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 за електронне листування у закладі освіти</w:t>
      </w: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зобов’язана</w:t>
      </w:r>
      <w:r w:rsidR="002432A8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терміново повідомити</w:t>
      </w:r>
      <w:r w:rsidR="002432A8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закладу та відповідальну особу.</w:t>
      </w:r>
    </w:p>
    <w:p w:rsidR="00E91B09" w:rsidRPr="00392C80" w:rsidRDefault="002432A8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особа, а в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заступник.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1B09" w:rsidRPr="00392C80" w:rsidRDefault="003E3F7F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32366E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дата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66E" w:rsidRPr="00392C80" w:rsidRDefault="003E3F7F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з</w:t>
      </w:r>
      <w:r w:rsidR="0032366E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 здійснює керівник закладу з дотриманням конфіденційності.</w:t>
      </w:r>
    </w:p>
    <w:p w:rsidR="00E91B09" w:rsidRPr="00392C80" w:rsidRDefault="0032366E" w:rsidP="00E91B09">
      <w:pPr>
        <w:pStyle w:val="a5"/>
        <w:numPr>
          <w:ilvl w:val="0"/>
          <w:numId w:val="3"/>
        </w:numPr>
        <w:spacing w:after="0" w:line="360" w:lineRule="auto"/>
        <w:ind w:left="142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Відповідальна особа</w:t>
      </w:r>
    </w:p>
    <w:p w:rsidR="00E91B09" w:rsidRPr="00392C80" w:rsidRDefault="0032366E" w:rsidP="00E91B09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Відповідальною особою призначається працівник закладу освіти з числа педагогічних працівників.</w:t>
      </w:r>
    </w:p>
    <w:p w:rsidR="00E91B09" w:rsidRPr="00392C80" w:rsidRDefault="0032366E" w:rsidP="00E91B09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функцій відповідально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особи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дноситься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E91B09" w:rsidRPr="00392C80" w:rsidRDefault="0032366E" w:rsidP="00E91B09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636C6" w:rsidRPr="00392C80" w:rsidRDefault="0032366E" w:rsidP="00F91CBD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32366E" w:rsidRPr="00392C80" w:rsidRDefault="0032366E" w:rsidP="001B649C">
      <w:pPr>
        <w:pStyle w:val="a5"/>
        <w:numPr>
          <w:ilvl w:val="0"/>
          <w:numId w:val="3"/>
        </w:numPr>
        <w:spacing w:after="0" w:line="360" w:lineRule="auto"/>
        <w:ind w:left="142" w:hanging="491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Комісія з розгляду випадків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(цькування)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Склад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наказом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керівник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обов'язки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постійній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урахуванням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завдань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складається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заступника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секретаря та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менше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ніж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п'яти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її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складу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входять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науково-педагогічні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практичний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психолог та </w:t>
      </w:r>
      <w:proofErr w:type="spellStart"/>
      <w:proofErr w:type="gram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</w:t>
      </w:r>
      <w:proofErr w:type="gram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іальний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 (за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наявності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закладу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представники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справах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дітей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центру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соціальних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 для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сім'ї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дітей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 участі в засіданні комісії за згодою залучаються батьки або інші законні представники малолітніх або неповнолітніх сторін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(цькування), а також можуть залучатися сторони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(цькування), представники інших суб'єктів реагування на випадки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(цькування) в закладах освіти.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Головою комісії є керівник закладу освіти. 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комісії організовує її роботу і відповідає за виконання покладених на комісію завдань, головує на її засіданнях та визначає перелік питань, що підлягають розгляду. 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визначає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функціональні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обов'язки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кожного члена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відсутності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його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обов'язки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заступник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 відсутності голови комісії та заступника голови комісії обов'язки голови комісії виконує один із членів комісії, який обирається комісією за поданням її секретаря.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відсутності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секретаря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його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обов'язки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один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обирається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поданням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заступника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Секретар комісії забезпечує підготовку проведення засідань комісії та матеріалів, що підлягають розгляду на засіданнях комісії, ведення протоколу засідань комісії.</w:t>
      </w:r>
    </w:p>
    <w:p w:rsidR="003E3F7F" w:rsidRPr="00392C80" w:rsidRDefault="003E3F7F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право:</w:t>
      </w:r>
    </w:p>
    <w:p w:rsidR="003E3F7F" w:rsidRPr="00392C80" w:rsidRDefault="003E3F7F" w:rsidP="003E3F7F">
      <w:pPr>
        <w:numPr>
          <w:ilvl w:val="0"/>
          <w:numId w:val="7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ознайомлюватися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матеріалами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стосуються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випадку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участь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перевірці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E3F7F" w:rsidRPr="00392C80" w:rsidRDefault="003E3F7F" w:rsidP="003E3F7F">
      <w:pPr>
        <w:numPr>
          <w:ilvl w:val="0"/>
          <w:numId w:val="7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пропозиції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висловлювати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власну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думку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розглядаються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E3F7F" w:rsidRPr="00392C80" w:rsidRDefault="003E3F7F" w:rsidP="003E3F7F">
      <w:pPr>
        <w:numPr>
          <w:ilvl w:val="0"/>
          <w:numId w:val="7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участь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прийнятті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рішення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шляхом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голосування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E3F7F" w:rsidRPr="00392C80" w:rsidRDefault="003E3F7F" w:rsidP="003E3F7F">
      <w:pPr>
        <w:numPr>
          <w:ilvl w:val="0"/>
          <w:numId w:val="7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висловлювати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окрему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думку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усно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письмово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E3F7F" w:rsidRPr="00392C80" w:rsidRDefault="003E3F7F" w:rsidP="003E3F7F">
      <w:pPr>
        <w:numPr>
          <w:ilvl w:val="0"/>
          <w:numId w:val="7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вносити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пропозиції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порядку денного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</w:t>
      </w:r>
      <w:proofErr w:type="gram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3F7F" w:rsidRPr="00392C80" w:rsidRDefault="003E3F7F" w:rsidP="003E3F7F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зобов'язаний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E3F7F" w:rsidRPr="00392C80" w:rsidRDefault="003E3F7F" w:rsidP="003E3F7F">
      <w:pPr>
        <w:numPr>
          <w:ilvl w:val="0"/>
          <w:numId w:val="8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особисто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участь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E3F7F" w:rsidRPr="00392C80" w:rsidRDefault="003E3F7F" w:rsidP="003E3F7F">
      <w:pPr>
        <w:numPr>
          <w:ilvl w:val="0"/>
          <w:numId w:val="8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розголошувати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стороннім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особам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відомості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стали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йому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відомі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зв'язку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і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використовувати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інтересах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інтересах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третіх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осіб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E3F7F" w:rsidRPr="00392C80" w:rsidRDefault="003E3F7F" w:rsidP="003E3F7F">
      <w:pPr>
        <w:numPr>
          <w:ilvl w:val="0"/>
          <w:numId w:val="8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виконувати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межах,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передбачених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законодавством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посадовими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обов'язками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доручення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432A8" w:rsidRPr="00392C80" w:rsidRDefault="003E3F7F" w:rsidP="002432A8">
      <w:pPr>
        <w:numPr>
          <w:ilvl w:val="0"/>
          <w:numId w:val="8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участь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голосуванні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5D98" w:rsidRPr="00392C80" w:rsidRDefault="006C5D98" w:rsidP="006C5D9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Порядок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комісії</w:t>
      </w:r>
      <w:proofErr w:type="spellEnd"/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діяльності комісії є припинення випадку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закладі освіти; відновлення та нормалізація стосунків, створення сприятливих умов для подальшого здобуття освіти у групі (класі), де стався випадок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(цькування); з'ясування причин, які призвели до випадку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та вжиття заходів для усунення таких причин; оцінка потреб сторін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соціальних та психолого-педагогічних послугах та забезпечення таких послуг.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принципах: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верховенства права;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конфіденційності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невідкладного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5D98" w:rsidRPr="00392C80" w:rsidRDefault="006C5D98" w:rsidP="006C5D98">
      <w:pPr>
        <w:numPr>
          <w:ilvl w:val="0"/>
          <w:numId w:val="12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6C5D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належать:</w:t>
      </w:r>
    </w:p>
    <w:p w:rsidR="006C5D98" w:rsidRPr="00392C80" w:rsidRDefault="006C5D98" w:rsidP="006C5D98">
      <w:pPr>
        <w:numPr>
          <w:ilvl w:val="0"/>
          <w:numId w:val="13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практичного психолога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(за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центру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для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об'єктивного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заяви;</w:t>
      </w:r>
    </w:p>
    <w:p w:rsidR="006C5D98" w:rsidRPr="00392C80" w:rsidRDefault="006C5D98" w:rsidP="006C5D98">
      <w:pPr>
        <w:numPr>
          <w:ilvl w:val="0"/>
          <w:numId w:val="13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обґрунтовують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1B649C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 комісією про наявність обставин, що обґрунтовують інформацію, зазначену у заяві, до завдань комісії також належать:</w:t>
      </w:r>
    </w:p>
    <w:p w:rsidR="006C5D98" w:rsidRPr="00392C80" w:rsidRDefault="006C5D98" w:rsidP="006C5D98">
      <w:pPr>
        <w:numPr>
          <w:ilvl w:val="0"/>
          <w:numId w:val="14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потреб сторін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сім'ї, дітей та молоді;</w:t>
      </w:r>
    </w:p>
    <w:p w:rsidR="006C5D98" w:rsidRPr="00392C80" w:rsidRDefault="006C5D98" w:rsidP="006C5D98">
      <w:pPr>
        <w:numPr>
          <w:ilvl w:val="0"/>
          <w:numId w:val="14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причин;</w:t>
      </w:r>
    </w:p>
    <w:p w:rsidR="006C5D98" w:rsidRPr="00392C80" w:rsidRDefault="006C5D98" w:rsidP="006C5D98">
      <w:pPr>
        <w:numPr>
          <w:ilvl w:val="0"/>
          <w:numId w:val="14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визначення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5D98" w:rsidRPr="00392C80" w:rsidRDefault="006C5D98" w:rsidP="006C5D98">
      <w:pPr>
        <w:numPr>
          <w:ilvl w:val="0"/>
          <w:numId w:val="14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психолого-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корегування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потреби)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4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науково-педагогічних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малолітніми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неповнолітніми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4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 Дату, час і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правоможним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вісімнадцятої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заінтересованих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дату, час і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паперовому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вирішальним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392C80">
        <w:rPr>
          <w:rFonts w:ascii="Times New Roman" w:hAnsi="Times New Roman" w:cs="Times New Roman"/>
          <w:sz w:val="28"/>
          <w:szCs w:val="28"/>
        </w:rPr>
        <w:fldChar w:fldCharType="begin"/>
      </w:r>
      <w:r w:rsidRPr="00392C80">
        <w:rPr>
          <w:rFonts w:ascii="Times New Roman" w:hAnsi="Times New Roman" w:cs="Times New Roman"/>
          <w:sz w:val="28"/>
          <w:szCs w:val="28"/>
        </w:rPr>
        <w:instrText xml:space="preserve"> HYPERLINK "http://osvita.ua/doc/files/news/709/70993/Dodatok_do_Poryadku.docx" </w:instrText>
      </w:r>
      <w:r w:rsidRPr="00392C80">
        <w:rPr>
          <w:rFonts w:ascii="Times New Roman" w:hAnsi="Times New Roman" w:cs="Times New Roman"/>
          <w:sz w:val="28"/>
          <w:szCs w:val="28"/>
        </w:rPr>
        <w:fldChar w:fldCharType="separate"/>
      </w:r>
      <w:r w:rsidRPr="00392C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додатком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розголошувати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стороннім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відомості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C5D98" w:rsidRPr="00392C80" w:rsidRDefault="006C5D98" w:rsidP="006C5D98">
      <w:pPr>
        <w:numPr>
          <w:ilvl w:val="0"/>
          <w:numId w:val="15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ознайомлюватися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поданими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5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D98" w:rsidRPr="00392C80" w:rsidRDefault="006C5D98" w:rsidP="006C5D98">
      <w:pPr>
        <w:numPr>
          <w:ilvl w:val="0"/>
          <w:numId w:val="15"/>
        </w:numPr>
        <w:shd w:val="clear" w:color="auto" w:fill="FFFFFF"/>
        <w:spacing w:before="30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думку з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98" w:rsidRPr="00392C80" w:rsidRDefault="006C5D98" w:rsidP="006C5D9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до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протоколом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49C" w:rsidRPr="00392C80" w:rsidRDefault="006C5D98" w:rsidP="00E00FA9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66E" w:rsidRPr="00392C80" w:rsidRDefault="00E91B09" w:rsidP="00E91B09">
      <w:pPr>
        <w:pStyle w:val="a5"/>
        <w:numPr>
          <w:ilvl w:val="0"/>
          <w:numId w:val="3"/>
        </w:numPr>
        <w:spacing w:after="0" w:line="360" w:lineRule="auto"/>
        <w:ind w:left="142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Терміни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розгляду</w:t>
      </w:r>
      <w:proofErr w:type="spellEnd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32366E" w:rsidRPr="0039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</w:t>
      </w:r>
      <w:proofErr w:type="spellEnd"/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</w:t>
      </w:r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</w:t>
      </w:r>
      <w:r w:rsidR="00E91B09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письмову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з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письмової</w:t>
      </w:r>
      <w:proofErr w:type="spellEnd"/>
      <w:r w:rsidR="00E91B09"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аяви.</w:t>
      </w:r>
    </w:p>
    <w:p w:rsidR="00E91B09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Розслідування випадків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уповноваженими особами здійснюється протягом 3 робочих днів з дати видання рішення про проведення розслідування.</w:t>
      </w:r>
    </w:p>
    <w:p w:rsidR="0032366E" w:rsidRPr="00392C80" w:rsidRDefault="0032366E" w:rsidP="0032366E">
      <w:pPr>
        <w:pStyle w:val="a5"/>
        <w:numPr>
          <w:ilvl w:val="1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визначену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але не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="002432A8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2A8" w:rsidRPr="00392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</w:t>
      </w:r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39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1A" w:rsidRPr="0032366E" w:rsidRDefault="00392C80" w:rsidP="00323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91A" w:rsidRPr="0032366E" w:rsidSect="00E00FA9">
      <w:pgSz w:w="11906" w:h="16838"/>
      <w:pgMar w:top="851" w:right="850" w:bottom="993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eciosa">
    <w:altName w:val="Segoe UI Semilight"/>
    <w:charset w:val="CC"/>
    <w:family w:val="auto"/>
    <w:pitch w:val="variable"/>
    <w:sig w:usb0="00000203" w:usb1="00000000" w:usb2="00000000" w:usb3="00000000" w:csb0="00000005" w:csb1="00000000"/>
  </w:font>
  <w:font w:name="Aelita Victorian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C51"/>
    <w:multiLevelType w:val="multilevel"/>
    <w:tmpl w:val="73F05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381614"/>
    <w:multiLevelType w:val="hybridMultilevel"/>
    <w:tmpl w:val="8766D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E3F42"/>
    <w:multiLevelType w:val="hybridMultilevel"/>
    <w:tmpl w:val="F7F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178D"/>
    <w:multiLevelType w:val="hybridMultilevel"/>
    <w:tmpl w:val="26B08F32"/>
    <w:lvl w:ilvl="0" w:tplc="CB86904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787A"/>
    <w:multiLevelType w:val="hybridMultilevel"/>
    <w:tmpl w:val="4EB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33FF4"/>
    <w:multiLevelType w:val="multilevel"/>
    <w:tmpl w:val="8502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10EE5"/>
    <w:multiLevelType w:val="hybridMultilevel"/>
    <w:tmpl w:val="CF42B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63A0A"/>
    <w:multiLevelType w:val="hybridMultilevel"/>
    <w:tmpl w:val="6420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47E16"/>
    <w:multiLevelType w:val="multilevel"/>
    <w:tmpl w:val="A654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67591"/>
    <w:multiLevelType w:val="hybridMultilevel"/>
    <w:tmpl w:val="FB6ADCA8"/>
    <w:lvl w:ilvl="0" w:tplc="D89C627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046A"/>
    <w:multiLevelType w:val="multilevel"/>
    <w:tmpl w:val="616C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70865C1"/>
    <w:multiLevelType w:val="multilevel"/>
    <w:tmpl w:val="616C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7515AB0"/>
    <w:multiLevelType w:val="multilevel"/>
    <w:tmpl w:val="3AC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33409"/>
    <w:multiLevelType w:val="multilevel"/>
    <w:tmpl w:val="EF7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97B39"/>
    <w:multiLevelType w:val="multilevel"/>
    <w:tmpl w:val="0902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56182"/>
    <w:multiLevelType w:val="multilevel"/>
    <w:tmpl w:val="F804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6541E4"/>
    <w:multiLevelType w:val="multilevel"/>
    <w:tmpl w:val="37646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85D4DAF"/>
    <w:multiLevelType w:val="multilevel"/>
    <w:tmpl w:val="F31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101AC"/>
    <w:multiLevelType w:val="multilevel"/>
    <w:tmpl w:val="6198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3C"/>
    <w:rsid w:val="00037256"/>
    <w:rsid w:val="001B649C"/>
    <w:rsid w:val="002432A8"/>
    <w:rsid w:val="00252175"/>
    <w:rsid w:val="0032366E"/>
    <w:rsid w:val="00392C80"/>
    <w:rsid w:val="003C401F"/>
    <w:rsid w:val="003E3F7F"/>
    <w:rsid w:val="00554C3C"/>
    <w:rsid w:val="00573F6D"/>
    <w:rsid w:val="006C5D98"/>
    <w:rsid w:val="00C636C6"/>
    <w:rsid w:val="00CA0CEB"/>
    <w:rsid w:val="00D542FA"/>
    <w:rsid w:val="00DA3250"/>
    <w:rsid w:val="00DB4649"/>
    <w:rsid w:val="00E00FA9"/>
    <w:rsid w:val="00E91B09"/>
    <w:rsid w:val="00F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3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236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3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6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66E"/>
    <w:rPr>
      <w:b/>
      <w:bCs/>
    </w:rPr>
  </w:style>
  <w:style w:type="paragraph" w:styleId="a5">
    <w:name w:val="List Paragraph"/>
    <w:basedOn w:val="a"/>
    <w:uiPriority w:val="34"/>
    <w:qFormat/>
    <w:rsid w:val="003236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3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236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3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6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2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66E"/>
    <w:rPr>
      <w:b/>
      <w:bCs/>
    </w:rPr>
  </w:style>
  <w:style w:type="paragraph" w:styleId="a5">
    <w:name w:val="List Paragraph"/>
    <w:basedOn w:val="a"/>
    <w:uiPriority w:val="34"/>
    <w:qFormat/>
    <w:rsid w:val="003236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2021-08-30T10:00:00Z</cp:lastPrinted>
  <dcterms:created xsi:type="dcterms:W3CDTF">2020-08-20T08:21:00Z</dcterms:created>
  <dcterms:modified xsi:type="dcterms:W3CDTF">2021-08-30T10:01:00Z</dcterms:modified>
</cp:coreProperties>
</file>