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C5" w:rsidRPr="004B2BC5" w:rsidRDefault="004B2BC5" w:rsidP="00A4637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BC5">
        <w:rPr>
          <w:rFonts w:ascii="Times New Roman" w:eastAsia="Calibri" w:hAnsi="Times New Roman" w:cs="Times New Roman"/>
          <w:sz w:val="28"/>
          <w:szCs w:val="28"/>
          <w:lang w:val="ru-RU"/>
        </w:rPr>
        <w:t>Протокол</w:t>
      </w:r>
      <w:r w:rsidRPr="004B2BC5">
        <w:rPr>
          <w:rFonts w:ascii="Times New Roman" w:eastAsia="Calibri" w:hAnsi="Times New Roman" w:cs="Times New Roman"/>
          <w:sz w:val="28"/>
          <w:szCs w:val="28"/>
        </w:rPr>
        <w:t xml:space="preserve"> № 6</w:t>
      </w:r>
    </w:p>
    <w:p w:rsidR="00A4637E" w:rsidRDefault="004B2BC5" w:rsidP="00A4637E">
      <w:pPr>
        <w:spacing w:after="0" w:line="360" w:lineRule="auto"/>
        <w:ind w:left="-567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2BC5">
        <w:rPr>
          <w:rFonts w:ascii="Times New Roman" w:eastAsia="Calibri" w:hAnsi="Times New Roman" w:cs="Times New Roman"/>
          <w:sz w:val="28"/>
          <w:szCs w:val="28"/>
          <w:lang w:val="ru-RU"/>
        </w:rPr>
        <w:t>зас</w:t>
      </w:r>
      <w:proofErr w:type="spellEnd"/>
      <w:r w:rsidRPr="004B2BC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Start"/>
      <w:r w:rsidRPr="004B2BC5">
        <w:rPr>
          <w:rFonts w:ascii="Times New Roman" w:eastAsia="Calibri" w:hAnsi="Times New Roman" w:cs="Times New Roman"/>
          <w:sz w:val="28"/>
          <w:szCs w:val="28"/>
          <w:lang w:val="ru-RU"/>
        </w:rPr>
        <w:t>дання</w:t>
      </w:r>
      <w:proofErr w:type="spellEnd"/>
      <w:r w:rsidRPr="004B2BC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B2BC5">
        <w:rPr>
          <w:rFonts w:ascii="Times New Roman" w:eastAsia="Calibri" w:hAnsi="Times New Roman" w:cs="Times New Roman"/>
          <w:sz w:val="28"/>
          <w:szCs w:val="28"/>
          <w:lang w:val="ru-RU"/>
        </w:rPr>
        <w:t>пе</w:t>
      </w:r>
      <w:r w:rsidR="00A4637E">
        <w:rPr>
          <w:rFonts w:ascii="Times New Roman" w:eastAsia="Calibri" w:hAnsi="Times New Roman" w:cs="Times New Roman"/>
          <w:sz w:val="28"/>
          <w:szCs w:val="28"/>
        </w:rPr>
        <w:t>дагогічної</w:t>
      </w:r>
      <w:proofErr w:type="spellEnd"/>
      <w:r w:rsidR="00A463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4637E">
        <w:rPr>
          <w:rFonts w:ascii="Times New Roman" w:eastAsia="Calibri" w:hAnsi="Times New Roman" w:cs="Times New Roman"/>
          <w:sz w:val="28"/>
          <w:szCs w:val="28"/>
        </w:rPr>
        <w:t>ради</w:t>
      </w:r>
      <w:proofErr w:type="gramEnd"/>
      <w:r w:rsidR="00A4637E">
        <w:rPr>
          <w:rFonts w:ascii="Times New Roman" w:eastAsia="Calibri" w:hAnsi="Times New Roman" w:cs="Times New Roman"/>
          <w:sz w:val="28"/>
          <w:szCs w:val="28"/>
        </w:rPr>
        <w:t xml:space="preserve"> закладу</w:t>
      </w:r>
    </w:p>
    <w:p w:rsidR="004B2BC5" w:rsidRPr="004B2BC5" w:rsidRDefault="004B2BC5" w:rsidP="00A4637E">
      <w:pPr>
        <w:spacing w:after="0" w:line="360" w:lineRule="auto"/>
        <w:ind w:left="-567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від  30</w:t>
      </w:r>
      <w:r w:rsidR="0066026F">
        <w:rPr>
          <w:rFonts w:ascii="Times New Roman" w:eastAsia="Calibri" w:hAnsi="Times New Roman" w:cs="Times New Roman"/>
          <w:sz w:val="28"/>
          <w:szCs w:val="28"/>
        </w:rPr>
        <w:t xml:space="preserve"> березня 2021</w:t>
      </w:r>
      <w:r w:rsidRPr="004B2BC5">
        <w:rPr>
          <w:rFonts w:ascii="Times New Roman" w:eastAsia="Calibri" w:hAnsi="Times New Roman" w:cs="Times New Roman"/>
          <w:sz w:val="28"/>
          <w:szCs w:val="28"/>
        </w:rPr>
        <w:t xml:space="preserve"> року</w:t>
      </w:r>
    </w:p>
    <w:p w:rsidR="00A4637E" w:rsidRDefault="004B2BC5" w:rsidP="004B2BC5">
      <w:pPr>
        <w:spacing w:line="24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B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4B2BC5" w:rsidRPr="004B2BC5" w:rsidRDefault="00A4637E" w:rsidP="00A4637E">
      <w:pPr>
        <w:spacing w:line="240" w:lineRule="auto"/>
        <w:ind w:left="-567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4B2BC5" w:rsidRPr="004B2BC5">
        <w:rPr>
          <w:rFonts w:ascii="Times New Roman" w:eastAsia="Calibri" w:hAnsi="Times New Roman" w:cs="Times New Roman"/>
          <w:sz w:val="28"/>
          <w:szCs w:val="28"/>
        </w:rPr>
        <w:t xml:space="preserve"> Присутні:</w:t>
      </w:r>
    </w:p>
    <w:p w:rsidR="004B2BC5" w:rsidRPr="004B2BC5" w:rsidRDefault="004B2BC5" w:rsidP="004B2BC5">
      <w:pPr>
        <w:spacing w:line="240" w:lineRule="auto"/>
        <w:ind w:left="-567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B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Голова педради: Терещенко Т.П.</w:t>
      </w:r>
    </w:p>
    <w:p w:rsidR="004B2BC5" w:rsidRPr="004B2BC5" w:rsidRDefault="004B2BC5" w:rsidP="004B2BC5">
      <w:pPr>
        <w:spacing w:line="240" w:lineRule="auto"/>
        <w:ind w:left="-567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2B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Секретар: Бондар Л.Б</w:t>
      </w:r>
    </w:p>
    <w:p w:rsidR="004B2BC5" w:rsidRPr="004B2BC5" w:rsidRDefault="004B2BC5" w:rsidP="004B2BC5">
      <w:pPr>
        <w:spacing w:line="240" w:lineRule="auto"/>
        <w:ind w:left="-567" w:firstLine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BC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Члени педради: 19</w:t>
      </w:r>
      <w:r w:rsidRPr="004B2BC5">
        <w:rPr>
          <w:rFonts w:ascii="Times New Roman" w:eastAsia="Calibri" w:hAnsi="Times New Roman" w:cs="Times New Roman"/>
          <w:sz w:val="28"/>
          <w:szCs w:val="28"/>
        </w:rPr>
        <w:t xml:space="preserve"> осіб </w:t>
      </w:r>
    </w:p>
    <w:p w:rsidR="004E6EF9" w:rsidRDefault="004E6EF9" w:rsidP="008E301B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E301B" w:rsidRDefault="008E301B" w:rsidP="008E30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E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денний</w:t>
      </w:r>
      <w:r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6EF9" w:rsidRPr="008E301B" w:rsidRDefault="004E6EF9" w:rsidP="008E301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1B" w:rsidRPr="008E301B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>1.Концепція формування успішної особистості учнів і педагогів</w:t>
      </w:r>
      <w:r w:rsidR="00E316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8E301B" w:rsidRPr="008E301B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Про вибір предмета  ДПА в 9 класі</w:t>
      </w:r>
      <w:r w:rsidR="00A463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01B" w:rsidRPr="008E301B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3.Про звільнення від проходження державної підсумкової атестації учнів, які завершують здобуття початкової та базової загальної середньої освіти у  2020-2021н.р.</w:t>
      </w:r>
    </w:p>
    <w:p w:rsidR="008E301B" w:rsidRPr="008E301B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 організацію проведення ДПА в 11кла</w:t>
      </w:r>
      <w:r w:rsidR="004E6EF9">
        <w:rPr>
          <w:rFonts w:ascii="Times New Roman" w:eastAsia="Times New Roman" w:hAnsi="Times New Roman" w:cs="Times New Roman"/>
          <w:sz w:val="28"/>
          <w:szCs w:val="28"/>
          <w:lang w:eastAsia="ru-RU"/>
        </w:rPr>
        <w:t>сі.</w:t>
      </w:r>
      <w:r w:rsidR="0009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8E301B" w:rsidRDefault="004E6EF9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.Про посилення пожежної  та техногенної безпеки у навчальному закладі</w:t>
      </w:r>
    </w:p>
    <w:p w:rsidR="00095569" w:rsidRDefault="00095569" w:rsidP="00A4637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569">
        <w:rPr>
          <w:rFonts w:ascii="Times New Roman" w:eastAsia="Calibri" w:hAnsi="Times New Roman" w:cs="Times New Roman"/>
          <w:sz w:val="28"/>
          <w:szCs w:val="28"/>
        </w:rPr>
        <w:t xml:space="preserve">Щодо організації </w:t>
      </w:r>
      <w:proofErr w:type="spellStart"/>
      <w:r w:rsidRPr="00095569">
        <w:rPr>
          <w:rFonts w:ascii="Times New Roman" w:eastAsia="Calibri" w:hAnsi="Times New Roman" w:cs="Times New Roman"/>
          <w:sz w:val="28"/>
          <w:szCs w:val="28"/>
        </w:rPr>
        <w:t>навчально</w:t>
      </w:r>
      <w:proofErr w:type="spellEnd"/>
      <w:r w:rsidRPr="00095569">
        <w:rPr>
          <w:rFonts w:ascii="Times New Roman" w:eastAsia="Calibri" w:hAnsi="Times New Roman" w:cs="Times New Roman"/>
          <w:sz w:val="28"/>
          <w:szCs w:val="28"/>
        </w:rPr>
        <w:t xml:space="preserve"> – виховного процесу під час проведення навчальних екскурсій та навчальної практики </w:t>
      </w:r>
      <w:r w:rsidR="00BE1F2A">
        <w:rPr>
          <w:rFonts w:ascii="Times New Roman" w:eastAsia="Calibri" w:hAnsi="Times New Roman" w:cs="Times New Roman"/>
          <w:sz w:val="28"/>
          <w:szCs w:val="28"/>
        </w:rPr>
        <w:t>здобувачів освіти закладів загальної середньої освіти.</w:t>
      </w:r>
      <w:bookmarkStart w:id="0" w:name="_GoBack"/>
      <w:bookmarkEnd w:id="0"/>
      <w:r w:rsidRPr="000955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5569" w:rsidRPr="00095569" w:rsidRDefault="00095569" w:rsidP="00A4637E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 підведення підсумків атестації педагогічних працівників навчального закладу.</w:t>
      </w:r>
    </w:p>
    <w:p w:rsidR="00095569" w:rsidRPr="008E301B" w:rsidRDefault="00095569" w:rsidP="008E301B">
      <w:pPr>
        <w:tabs>
          <w:tab w:val="left" w:pos="154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1B" w:rsidRPr="00A4637E" w:rsidRDefault="00A4637E" w:rsidP="00AC5DDA">
      <w:pPr>
        <w:pStyle w:val="a4"/>
        <w:numPr>
          <w:ilvl w:val="0"/>
          <w:numId w:val="3"/>
        </w:numPr>
        <w:tabs>
          <w:tab w:val="left" w:pos="1540"/>
        </w:tabs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="008E301B"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01B" w:rsidRPr="002519BF" w:rsidRDefault="00326EB2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463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26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Романюк А.В., ЗДНР, 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яка розповіла, що 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сучасному етапі розвитку суспільства в освітньому та науково-педагогічн</w:t>
      </w:r>
      <w:r w:rsidR="00D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ому просторі </w:t>
      </w:r>
      <w:r w:rsidR="00E31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актуальним</w:t>
      </w:r>
      <w:r w:rsidR="00D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вини</w:t>
      </w:r>
      <w:r w:rsidR="00D92AE1" w:rsidRPr="00D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кло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питання розвитку творчих здібностей та нахилів особистості. Це вимагає консолідації зусиль між системою освіти</w:t>
      </w:r>
      <w:r w:rsidR="00D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наукою, наукою і технологі</w:t>
      </w:r>
      <w:r w:rsidR="00D92AE1" w:rsidRPr="00D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техноло</w:t>
      </w:r>
      <w:r w:rsidR="00D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гі</w:t>
      </w:r>
      <w:r w:rsidR="00D92AE1" w:rsidRPr="00D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ями</w:t>
      </w:r>
      <w:r w:rsidR="00D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 новими умовами життя</w:t>
      </w:r>
      <w:r w:rsidR="008D49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і</w:t>
      </w:r>
      <w:r w:rsidR="000F004B" w:rsidRPr="000F00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92AE1" w:rsidRPr="000F00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сприятиме </w:t>
      </w:r>
      <w:r w:rsidRPr="00326E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створе</w:t>
      </w:r>
      <w:r w:rsidR="00D92A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нн</w:t>
      </w:r>
      <w:r w:rsidR="00D92AE1" w:rsidRPr="000F00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моделі інноваційного загальноос</w:t>
      </w:r>
      <w:r w:rsidR="00CF2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вітнього навчального закладу, </w:t>
      </w:r>
      <w:r w:rsidR="00CF28EA" w:rsidRPr="000F00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який буде </w:t>
      </w:r>
      <w:r w:rsidR="00CF2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розвива</w:t>
      </w:r>
      <w:r w:rsidR="00CF28EA" w:rsidRPr="000F00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тв</w:t>
      </w:r>
      <w:r w:rsidR="00CF2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орчі задатки та здібності дітей</w:t>
      </w:r>
      <w:r w:rsidR="00CF28EA" w:rsidRPr="000F004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="00CF2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Так</w:t>
      </w:r>
      <w:r w:rsidR="00696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</w:t>
      </w:r>
      <w:proofErr w:type="spellEnd"/>
      <w:r w:rsidR="00CF2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E44A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r w:rsidR="006961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</w:t>
      </w:r>
      <w:r w:rsidR="00CF28EA" w:rsidRPr="00CF28E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майбутньому будуть конкурентоздатними </w:t>
      </w:r>
      <w:proofErr w:type="gramStart"/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ринку праці та</w:t>
      </w:r>
      <w:r w:rsidR="00E31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стануть гарними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будівничими нашої держави. </w:t>
      </w:r>
      <w:r w:rsidR="00E31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Педагогічні працівники мають</w:t>
      </w:r>
      <w:r w:rsidR="001D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основною рушійною силою створення якісної нової національної освіти, реалізації </w:t>
      </w:r>
      <w:proofErr w:type="spellStart"/>
      <w:r w:rsidR="001D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компетентнісного</w:t>
      </w:r>
      <w:proofErr w:type="spellEnd"/>
      <w:r w:rsidR="001D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підходу до сучасного освітнього процесу, впровадження інноваційної освітньої діяльності. Завдання колективу – надати учневі змогу розвинути свій інтелект у самостійній, творчій діяльності з урахуванням індивідуальних особливостей  та нахилів.</w:t>
      </w:r>
    </w:p>
    <w:p w:rsidR="00AC5DDA" w:rsidRDefault="00AC5DDA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01B" w:rsidRPr="00A4637E" w:rsidRDefault="00AC5DDA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6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Виступили</w:t>
      </w:r>
      <w:r w:rsidR="008E301B" w:rsidRPr="00A46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8E301B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61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6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Терещенко Т.П., директор школи, </w:t>
      </w: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яка зробила  порівняльний аналіз світових тенденцій роз</w:t>
      </w:r>
      <w:r w:rsidR="0088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витку освітніх систем і моделей. Зокрема сказала, що міжнародні дослідження показують недоліки загальної середньої освіти в різних країнах світу: недостатній рівень </w:t>
      </w:r>
      <w:proofErr w:type="spellStart"/>
      <w:r w:rsidR="0088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природничо</w:t>
      </w:r>
      <w:proofErr w:type="spellEnd"/>
      <w:r w:rsidR="00882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наукової грамотності випускників, їхнє невміння застосовувати знання, які отримані при вивченні наук</w:t>
      </w:r>
      <w:r w:rsidR="0000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Сучасні роботодавці зацікавлені в такому працівникові, який уміє думати самостійно і розв’язувати різноманітні проблеми, володіє критичним і творчим мисленням, багатим словниковим запасом. Далі Тетяна Петрівна </w:t>
      </w: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розповіла про</w:t>
      </w: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інноваційні процеси у педагогічній теорії та освітній практиці. Також зосередила</w:t>
      </w:r>
      <w:r w:rsidR="006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увагу на тому, що в основі </w:t>
      </w:r>
      <w:proofErr w:type="spellStart"/>
      <w:r w:rsidR="006961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проє</w:t>
      </w: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ктування</w:t>
      </w:r>
      <w:proofErr w:type="spellEnd"/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освітньо-інформаційного</w:t>
      </w:r>
      <w:proofErr w:type="spellEnd"/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середовища майбутнього повинно бути виховання здорової, гармонійно розвиненої, високо духовної та відповідальної особистості</w:t>
      </w:r>
      <w:r w:rsidR="00006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і, насамперед, особистості, яка вміє вчитися самостійно</w:t>
      </w:r>
      <w:r w:rsidR="00587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 якщо учень знає, як вчитися, здатний досягати мети, йому буде легше підвищити свій професійний рівень, отримати будь – які додаткові знання, а саме це і потрібно в житті.</w:t>
      </w:r>
    </w:p>
    <w:p w:rsidR="008E301B" w:rsidRPr="008E301B" w:rsidRDefault="008E301B" w:rsidP="00A46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696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Мороз Н.М., вчитель історії, яка сказала, що  п</w:t>
      </w: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еред педагогами-практиками виникає завдання розробити та апробувати основні принципи </w:t>
      </w:r>
      <w:r w:rsidR="00696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сприятимуть </w:t>
      </w: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розвитку природних задатків, інтересів та нахилів учнів; вийти на якісно новий рівень </w:t>
      </w:r>
      <w:proofErr w:type="spellStart"/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освітньо-виховного</w:t>
      </w:r>
      <w:proofErr w:type="spellEnd"/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середовища, що відповідало б вимогам часу.</w:t>
      </w:r>
    </w:p>
    <w:p w:rsidR="008E301B" w:rsidRDefault="008E301B" w:rsidP="00A46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В </w:t>
      </w:r>
      <w:r w:rsidR="00165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основі інноваційної  педагогічної </w:t>
      </w: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моделі освітньо</w:t>
      </w:r>
      <w:r w:rsidR="00165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го  та </w:t>
      </w:r>
      <w:r w:rsidR="0069619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виховного середовища</w:t>
      </w:r>
      <w:r w:rsidR="002519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на думку Наталії Миколаївни</w:t>
      </w:r>
      <w:r w:rsidR="002519BF" w:rsidRPr="002519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165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лежить </w:t>
      </w: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ідея пошуку, виявлення, підтримки і розвитку природної обдарованості, багатог</w:t>
      </w:r>
      <w:r w:rsidR="00165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ранних здібностей кожного учня.</w:t>
      </w:r>
      <w:r w:rsidR="002519BF" w:rsidRPr="002519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519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Далі вона </w:t>
      </w:r>
      <w:r w:rsidR="00165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розповіла про участь </w:t>
      </w:r>
      <w:r w:rsidR="002519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її </w:t>
      </w:r>
      <w:r w:rsidR="00165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вихованців у різних конкурсах</w:t>
      </w:r>
      <w:r w:rsidR="002519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обласного рівня та</w:t>
      </w:r>
      <w:r w:rsidR="00165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 w:rsidR="002519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Вінницького регіонального відділення  </w:t>
      </w:r>
      <w:r w:rsidR="00165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МАН України та повідомила про їх перемоги.</w:t>
      </w:r>
      <w:r w:rsidR="002519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Так, </w:t>
      </w:r>
      <w:r w:rsidR="00EC7D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наприклад, </w:t>
      </w:r>
      <w:r w:rsidR="002519B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цьому році  в конкурсі « Український сувенір»</w:t>
      </w:r>
      <w:r w:rsidR="00EC7D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Нагорна Анастасія здобула призове друге місце.</w:t>
      </w:r>
    </w:p>
    <w:p w:rsidR="001657AF" w:rsidRDefault="001657AF" w:rsidP="00A463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57AF" w:rsidRPr="00A4637E" w:rsidRDefault="001657AF" w:rsidP="00A46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A463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Ухвалили:</w:t>
      </w:r>
    </w:p>
    <w:p w:rsidR="00C64A99" w:rsidRDefault="008E301B" w:rsidP="00A46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1.Працювати над створенням освітнього середовища, яке</w:t>
      </w:r>
      <w:r w:rsid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передбачає новий зміст освіти.</w:t>
      </w:r>
    </w:p>
    <w:p w:rsidR="00C64A99" w:rsidRPr="008E301B" w:rsidRDefault="00C64A99" w:rsidP="00A4637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Постійно</w:t>
      </w:r>
    </w:p>
    <w:p w:rsidR="00C64A99" w:rsidRDefault="00C64A99" w:rsidP="00A4637E">
      <w:pPr>
        <w:pStyle w:val="a4"/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Вчителям </w:t>
      </w:r>
      <w:proofErr w:type="spellStart"/>
      <w:r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предметникам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C64A99" w:rsidRPr="00C64A99" w:rsidRDefault="00C64A99" w:rsidP="00A463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2.1.</w:t>
      </w:r>
      <w:r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Посилити роботу з </w:t>
      </w:r>
      <w:proofErr w:type="spellStart"/>
      <w:r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розвитоку</w:t>
      </w:r>
      <w:proofErr w:type="spellEnd"/>
      <w:r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інтелектуальних здібностей, культури, творчого та креативного мислення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здобувачів освіти</w:t>
      </w:r>
      <w:r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64A99" w:rsidRDefault="00C64A99" w:rsidP="00A4637E">
      <w:pPr>
        <w:pStyle w:val="a4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2.2.</w:t>
      </w:r>
      <w:r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застосовувати в роботі </w:t>
      </w:r>
      <w:r w:rsidR="008E301B"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нові т</w:t>
      </w:r>
      <w:r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ехнології навчання і виховання.</w:t>
      </w:r>
    </w:p>
    <w:p w:rsidR="00C64A99" w:rsidRPr="00C64A99" w:rsidRDefault="00C64A99" w:rsidP="00A4637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64A9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Постійно</w:t>
      </w:r>
    </w:p>
    <w:p w:rsidR="008E301B" w:rsidRDefault="00C64A99" w:rsidP="00A4637E">
      <w:pPr>
        <w:shd w:val="clear" w:color="auto" w:fill="FFFFFF"/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2.3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.Створити електронний тестовий тренажер з основ наук</w:t>
      </w:r>
      <w:r w:rsidR="00165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C64A99" w:rsidRPr="008E301B" w:rsidRDefault="00C64A99" w:rsidP="00A4637E">
      <w:pPr>
        <w:shd w:val="clear" w:color="auto" w:fill="FFFFFF"/>
        <w:tabs>
          <w:tab w:val="left" w:pos="0"/>
        </w:tabs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протягом 2021 року</w:t>
      </w:r>
    </w:p>
    <w:p w:rsidR="008E301B" w:rsidRPr="008E301B" w:rsidRDefault="00C64A99" w:rsidP="00A463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Здійснювати постійне моніторингове дослідження успішності учнів, спрямованих на  підвищення якості </w:t>
      </w:r>
      <w:r w:rsidR="001657A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їх навчання.</w:t>
      </w:r>
    </w:p>
    <w:p w:rsidR="008E301B" w:rsidRDefault="008E301B" w:rsidP="00A4637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         Адміністрації ЗЗСО</w:t>
      </w:r>
    </w:p>
    <w:p w:rsidR="001657AF" w:rsidRPr="00A4637E" w:rsidRDefault="00810744" w:rsidP="00A463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</w:t>
      </w:r>
      <w:r w:rsidR="001657AF" w:rsidRPr="00A4637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Слухали:</w:t>
      </w:r>
    </w:p>
    <w:p w:rsidR="001657AF" w:rsidRPr="00AC5DDA" w:rsidRDefault="0004437D" w:rsidP="00A4637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Мацишену</w:t>
      </w:r>
      <w:proofErr w:type="spellEnd"/>
      <w:r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Н.Ф., </w:t>
      </w:r>
      <w:proofErr w:type="spellStart"/>
      <w:r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класного</w:t>
      </w:r>
      <w:proofErr w:type="spellEnd"/>
      <w:r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керівника</w:t>
      </w:r>
      <w:proofErr w:type="spellEnd"/>
      <w:r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9 </w:t>
      </w:r>
      <w:proofErr w:type="spellStart"/>
      <w:r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класу</w:t>
      </w:r>
      <w:proofErr w:type="spellEnd"/>
      <w:r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яка  сказала, </w:t>
      </w:r>
      <w:proofErr w:type="spellStart"/>
      <w:r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що</w:t>
      </w:r>
      <w:proofErr w:type="spellEnd"/>
      <w:r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 </w:t>
      </w:r>
      <w:proofErr w:type="spellStart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результаті</w:t>
      </w:r>
      <w:proofErr w:type="spellEnd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опитування</w:t>
      </w:r>
      <w:proofErr w:type="spellEnd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учнів</w:t>
      </w:r>
      <w:proofErr w:type="spellEnd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BA7AD7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кла</w:t>
      </w:r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</w:t>
      </w:r>
      <w:proofErr w:type="spellEnd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остаточно </w:t>
      </w:r>
      <w:proofErr w:type="spellStart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було</w:t>
      </w:r>
      <w:proofErr w:type="spellEnd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вирішено</w:t>
      </w:r>
      <w:proofErr w:type="spellEnd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обрати </w:t>
      </w:r>
      <w:proofErr w:type="spellStart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треті</w:t>
      </w:r>
      <w:proofErr w:type="gramStart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</w:t>
      </w:r>
      <w:proofErr w:type="spellEnd"/>
      <w:proofErr w:type="gramEnd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предметом ДПА – </w:t>
      </w:r>
      <w:proofErr w:type="spellStart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зарубіжну</w:t>
      </w:r>
      <w:proofErr w:type="spellEnd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літературу</w:t>
      </w:r>
      <w:proofErr w:type="spellEnd"/>
      <w:r w:rsidR="00810744" w:rsidRPr="00AC5DD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4637E" w:rsidRDefault="00AC5DDA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Ухвалили</w:t>
      </w:r>
      <w:r w:rsidR="008E301B"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01B" w:rsidRPr="00AC5DDA" w:rsidRDefault="000F5AFC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 </w:t>
      </w:r>
      <w:r w:rsidR="00AC5DDA" w:rsidRPr="00AC5DD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C5DD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арубіжну літературу третім предметом  державної підсумкової атестації в 9 класі.</w:t>
      </w:r>
    </w:p>
    <w:p w:rsidR="000F5AFC" w:rsidRPr="00AC5DDA" w:rsidRDefault="000F5AFC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1B" w:rsidRPr="00A4637E" w:rsidRDefault="00BA7AD7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="00A4637E"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="008E301B"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01B" w:rsidRPr="00AC5DDA" w:rsidRDefault="00A4637E" w:rsidP="00A4637E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04437D" w:rsidRP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Романюк А.В., ЗДНР, </w:t>
      </w:r>
      <w:r w:rsidR="0004437D" w:rsidRPr="00AC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яка </w:t>
      </w:r>
      <w:r w:rsidR="00BA7AD7" w:rsidRPr="00AC5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 про те, що </w:t>
      </w:r>
      <w:r w:rsidR="0004437D" w:rsidRP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8E301B" w:rsidRP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>чнів, які завершують здобуття початкової (4-ті класи) та базової загальної середньої (9-ті класи) освіти, звільнено від проходження державної підсумкової атестації у 2020/2021 навчальному році. Відповідний </w:t>
      </w:r>
      <w:hyperlink r:id="rId7" w:history="1">
        <w:r w:rsidR="008E301B" w:rsidRPr="00AC5D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наказ МОН від 03.03.2021 №273</w:t>
        </w:r>
      </w:hyperlink>
      <w:r w:rsidR="008E301B" w:rsidRP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> зареєстровано в Міністерстві юстиції України 16.03.2021 за №338/35960.</w:t>
      </w:r>
      <w:r w:rsid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E301B" w:rsidRPr="00AC5D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Рішення ухвалено у зв’язку з установленням для єдиної державної системи цивільного захисту на всій території України режиму надзвичайної ситуації відповідно до пункту 1 розпорядження Кабінету Міністрів від 25 березня 2020 року №338-р "Про переведення єдиної державної системи цивільного захисту у режим надзвичайної ситуації".</w:t>
      </w:r>
    </w:p>
    <w:p w:rsidR="008E301B" w:rsidRPr="00AC5DDA" w:rsidRDefault="00A4637E" w:rsidP="00A463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E301B" w:rsidRP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абзацу другого частини п’ятої статті 17 </w:t>
      </w:r>
      <w:hyperlink r:id="rId8" w:anchor="Text" w:history="1">
        <w:r w:rsidR="008E301B" w:rsidRPr="00AC5D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Закону України "Про повну загальну середню освіту"</w:t>
        </w:r>
      </w:hyperlink>
      <w:r w:rsidR="008E301B" w:rsidRP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кожен учень має пройти державну підсумкову атестацію за кожний рівень повної загальної середньої освіти з державної мови, математики та інших предметів, визначених центральним органом виконавчої влади у сфері освіти і науки, крім випадків, визначених законодавством.</w:t>
      </w:r>
    </w:p>
    <w:p w:rsidR="008E301B" w:rsidRPr="00AC5DDA" w:rsidRDefault="00A4637E" w:rsidP="00A463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8E301B" w:rsidRPr="00AC5D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Пунктом 6 розділу IV </w:t>
      </w:r>
      <w:hyperlink r:id="rId9" w:anchor="Text" w:history="1">
        <w:r w:rsidR="008E301B" w:rsidRPr="00AC5D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Порядку проведення ДПА</w:t>
        </w:r>
      </w:hyperlink>
      <w:r w:rsidR="008E301B" w:rsidRPr="00AC5D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 встановлено, що здобувачі освіти, які проживають у зоні надзвичайної ситуації природного та техногенного походження, звільняються від атестації за рішенням МОН або місцевих органів управління освітою. Відповідно до пункту 9 розділу IV зазначеного Порядку, здобувачам освіти, звільненим від атестації, у відповідному документі про освіту робиться запис "звільнений(а)".</w:t>
      </w:r>
    </w:p>
    <w:p w:rsidR="008E301B" w:rsidRPr="00AC5DDA" w:rsidRDefault="00A4637E" w:rsidP="00A463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</w:t>
      </w:r>
      <w:r w:rsidR="008E301B" w:rsidRP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позицій 32 та 33 розділу ІІ </w:t>
      </w:r>
      <w:hyperlink r:id="rId10" w:anchor="Text" w:history="1">
        <w:r w:rsidR="008E301B" w:rsidRPr="00AC5DD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Класифікаційних ознак надзвичайних ситуацій</w:t>
        </w:r>
      </w:hyperlink>
      <w:r w:rsidR="008E301B" w:rsidRP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перевищення </w:t>
      </w:r>
      <w:proofErr w:type="spellStart"/>
      <w:r w:rsidR="008E301B" w:rsidRP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порогового</w:t>
      </w:r>
      <w:proofErr w:type="spellEnd"/>
      <w:r w:rsidR="008E301B" w:rsidRPr="00AC5DD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рівня захворюваності людей на грип, гострі респіраторні вірусні захворювання удвічі і більше разів протягом періоду понад 2 тижні у двох та більше адміністративних районах області (Автономна Республіка Крим, міста Київ та Севастополь), містах або в цілому по країні, інфекційні захворювання людей невиявленої етіології віднесено до надзвичайних ситуацій природного характеру.</w:t>
      </w:r>
    </w:p>
    <w:p w:rsidR="008E301B" w:rsidRPr="00F40988" w:rsidRDefault="008E301B" w:rsidP="00A463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lastRenderedPageBreak/>
        <w:t>Зважаючи на це, МОН звільнило від проходження державної підсумкової атестації здобувачів закладів загальної середньої освіти 4-х і 9-х класів у 2020/2021 навчальному році.</w:t>
      </w:r>
    </w:p>
    <w:p w:rsidR="008E301B" w:rsidRPr="00F40988" w:rsidRDefault="00A4637E" w:rsidP="00A463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0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="008E301B" w:rsidRPr="00F40988">
        <w:rPr>
          <w:rFonts w:ascii="Times New Roman" w:eastAsia="Times New Roman" w:hAnsi="Times New Roman" w:cs="Times New Roman"/>
          <w:sz w:val="28"/>
          <w:szCs w:val="28"/>
          <w:lang w:eastAsia="uk-UA"/>
        </w:rPr>
        <w:t>У відповідному документі про освіту учнів, звільнених від ДПА, необхідно зробити запис "звільнений(а)".</w:t>
      </w:r>
    </w:p>
    <w:p w:rsidR="008E301B" w:rsidRPr="00F40988" w:rsidRDefault="00A4637E" w:rsidP="00A463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   </w:t>
      </w:r>
      <w:r w:rsidR="008E301B"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Таке рішення сприятиме організованому завершенню навчального року учнями, які закінчують здобуття початкової та базо</w:t>
      </w:r>
      <w:r w:rsidR="00BA7AD7"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вої загальної середньої освіти </w:t>
      </w:r>
      <w:r w:rsidR="008E301B"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 умовах поширення на території України COVID-19.</w:t>
      </w:r>
    </w:p>
    <w:p w:rsidR="00AC5DDA" w:rsidRPr="00A4637E" w:rsidRDefault="00AC5DDA" w:rsidP="00A463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</w:pPr>
    </w:p>
    <w:p w:rsidR="008E301B" w:rsidRPr="00A4637E" w:rsidRDefault="00AC5DDA" w:rsidP="00A463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</w:pPr>
      <w:r w:rsidRPr="00A4637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Ухвалили</w:t>
      </w:r>
      <w:r w:rsidR="008E301B" w:rsidRPr="00A4637E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uk-UA"/>
        </w:rPr>
        <w:t>:</w:t>
      </w:r>
    </w:p>
    <w:p w:rsidR="008E301B" w:rsidRPr="00F40988" w:rsidRDefault="008E301B" w:rsidP="00A463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1.</w:t>
      </w:r>
      <w:r w:rsidR="00BA7AD7"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Керуючись </w:t>
      </w:r>
      <w:hyperlink r:id="rId11" w:history="1">
        <w:r w:rsidR="00BA7AD7" w:rsidRPr="00F4098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наказом МОН від 03.03.2021 №273</w:t>
        </w:r>
      </w:hyperlink>
      <w:r w:rsidR="00BA7AD7" w:rsidRPr="00F40988">
        <w:t xml:space="preserve">, </w:t>
      </w:r>
      <w:r w:rsidR="00BA7AD7"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 з</w:t>
      </w:r>
      <w:r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вільнити від проходження ДПА учнів 4-х та 9 класів</w:t>
      </w:r>
    </w:p>
    <w:p w:rsidR="008E301B" w:rsidRPr="00F40988" w:rsidRDefault="008E301B" w:rsidP="00A4637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2. У свідоцтві </w:t>
      </w:r>
      <w:r w:rsidR="00BA7AD7"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п</w:t>
      </w:r>
      <w:r w:rsidRPr="00F409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 xml:space="preserve">ро здобуття </w:t>
      </w:r>
      <w:r w:rsidRPr="00F4098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базової середньої  освіти учнів, звільнених від ДПА,  зробити запис "звільнений(а)".</w:t>
      </w:r>
    </w:p>
    <w:p w:rsidR="008E301B" w:rsidRPr="008E301B" w:rsidRDefault="008E301B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1B" w:rsidRPr="00A4637E" w:rsidRDefault="0004437D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AC5DDA"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Слухали</w:t>
      </w:r>
      <w:r w:rsidR="008E301B"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01B" w:rsidRPr="008E301B" w:rsidRDefault="00900342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</w:t>
      </w:r>
      <w:r w:rsidR="0004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Т.П., директора школи, яка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доповіла, що державна підсумкова атестація випускників 11 класу  проводиться у формі зовнішнього незалежного оцінювання (ЗНО) з 22 травня</w:t>
      </w:r>
      <w:r w:rsidR="00044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1B" w:rsidRPr="008E301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 графіком:</w:t>
      </w:r>
    </w:p>
    <w:p w:rsidR="008E301B" w:rsidRPr="008E301B" w:rsidRDefault="008E301B" w:rsidP="008E3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345" w:type="dxa"/>
        <w:tblInd w:w="1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9"/>
        <w:gridCol w:w="6846"/>
      </w:tblGrid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21 травня</w:t>
            </w: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Хімія</w:t>
            </w:r>
          </w:p>
        </w:tc>
      </w:tr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01 червня</w:t>
            </w:r>
          </w:p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01 червня</w:t>
            </w: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Українська мова </w:t>
            </w:r>
          </w:p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Українська мова і література</w:t>
            </w:r>
          </w:p>
        </w:tc>
      </w:tr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24 травня</w:t>
            </w: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Іспанська мова, німецька, французька мови</w:t>
            </w:r>
          </w:p>
        </w:tc>
      </w:tr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28 травня</w:t>
            </w: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28 травня</w:t>
            </w: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 (завдання рівня стандарту)</w:t>
            </w:r>
          </w:p>
        </w:tc>
      </w:tr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25травня</w:t>
            </w: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Англійська мова</w:t>
            </w:r>
          </w:p>
        </w:tc>
      </w:tr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10 червня</w:t>
            </w: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Біологія</w:t>
            </w:r>
          </w:p>
        </w:tc>
      </w:tr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04 червня</w:t>
            </w: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Історія України</w:t>
            </w:r>
          </w:p>
        </w:tc>
      </w:tr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15 червня</w:t>
            </w: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Географія</w:t>
            </w:r>
          </w:p>
        </w:tc>
      </w:tr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07 червня</w:t>
            </w: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AC5DDA" w:rsidRDefault="008E301B" w:rsidP="008E301B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5DDA"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</w:t>
            </w:r>
          </w:p>
        </w:tc>
      </w:tr>
      <w:tr w:rsidR="008E301B" w:rsidRPr="008E301B" w:rsidTr="00AC5DDA">
        <w:tc>
          <w:tcPr>
            <w:tcW w:w="2499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8E301B" w:rsidRDefault="008E301B" w:rsidP="008E301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46" w:type="dxa"/>
            <w:tcBorders>
              <w:top w:val="single" w:sz="6" w:space="0" w:color="B4AAAA"/>
              <w:left w:val="single" w:sz="6" w:space="0" w:color="B4AAAA"/>
              <w:bottom w:val="single" w:sz="6" w:space="0" w:color="B4AAAA"/>
              <w:right w:val="single" w:sz="6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8E301B" w:rsidRPr="008E301B" w:rsidRDefault="008E301B" w:rsidP="008E301B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</w:tr>
    </w:tbl>
    <w:p w:rsidR="00AC5DDA" w:rsidRDefault="008E301B" w:rsidP="008E3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3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8E301B" w:rsidRPr="008E301B" w:rsidRDefault="008E301B" w:rsidP="00F40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Інформація про реєстрацію на ЗНО 2021</w:t>
      </w:r>
    </w:p>
    <w:tbl>
      <w:tblPr>
        <w:tblStyle w:val="1"/>
        <w:tblW w:w="10474" w:type="dxa"/>
        <w:tblInd w:w="-692" w:type="dxa"/>
        <w:tblLayout w:type="fixed"/>
        <w:tblLook w:val="04A0" w:firstRow="1" w:lastRow="0" w:firstColumn="1" w:lastColumn="0" w:noHBand="0" w:noVBand="1"/>
      </w:tblPr>
      <w:tblGrid>
        <w:gridCol w:w="497"/>
        <w:gridCol w:w="219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91"/>
        <w:gridCol w:w="360"/>
        <w:gridCol w:w="425"/>
        <w:gridCol w:w="425"/>
        <w:gridCol w:w="426"/>
        <w:gridCol w:w="358"/>
        <w:gridCol w:w="442"/>
        <w:gridCol w:w="442"/>
        <w:gridCol w:w="424"/>
        <w:gridCol w:w="18"/>
      </w:tblGrid>
      <w:tr w:rsidR="008E301B" w:rsidRPr="008E301B" w:rsidTr="00F40988">
        <w:trPr>
          <w:gridAfter w:val="1"/>
          <w:wAfter w:w="18" w:type="dxa"/>
        </w:trPr>
        <w:tc>
          <w:tcPr>
            <w:tcW w:w="4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0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301B" w:rsidRPr="008E301B" w:rsidRDefault="008E301B" w:rsidP="008E30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301B" w:rsidRPr="008E301B" w:rsidRDefault="008E301B" w:rsidP="008E30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з/</w:t>
            </w:r>
            <w:proofErr w:type="gram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1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ізвище</w:t>
            </w:r>
            <w:proofErr w:type="spellEnd"/>
          </w:p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і</w:t>
            </w:r>
            <w:proofErr w:type="gram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м’я</w:t>
            </w:r>
            <w:proofErr w:type="spellEnd"/>
            <w:proofErr w:type="gramEnd"/>
          </w:p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батькові</w:t>
            </w:r>
            <w:proofErr w:type="spellEnd"/>
          </w:p>
        </w:tc>
        <w:tc>
          <w:tcPr>
            <w:tcW w:w="3969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01B">
              <w:rPr>
                <w:rFonts w:ascii="Times New Roman" w:hAnsi="Times New Roman"/>
                <w:b/>
                <w:sz w:val="24"/>
                <w:szCs w:val="24"/>
              </w:rPr>
              <w:t>ДПА</w:t>
            </w:r>
          </w:p>
        </w:tc>
        <w:tc>
          <w:tcPr>
            <w:tcW w:w="3793" w:type="dxa"/>
            <w:gridSpan w:val="9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ЗНО</w:t>
            </w:r>
          </w:p>
        </w:tc>
      </w:tr>
      <w:tr w:rsidR="008E301B" w:rsidRPr="008E301B" w:rsidTr="00F40988">
        <w:trPr>
          <w:cantSplit/>
          <w:trHeight w:val="1588"/>
        </w:trPr>
        <w:tc>
          <w:tcPr>
            <w:tcW w:w="4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Укр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мова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іліт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Укр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8E301B" w:rsidRPr="008E301B" w:rsidRDefault="008E301B" w:rsidP="008E301B">
            <w:pPr>
              <w:ind w:left="113" w:right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Історія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Укр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Хімія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Англ.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Географія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Укр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мова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іліт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Укр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Історія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Укр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Математика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Фізика</w:t>
            </w:r>
            <w:proofErr w:type="spellEnd"/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Географія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Англ. </w:t>
            </w: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мова</w:t>
            </w:r>
            <w:proofErr w:type="spellEnd"/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іологія</w:t>
            </w:r>
            <w:proofErr w:type="spellEnd"/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E301B" w:rsidRPr="008E301B" w:rsidRDefault="008E301B" w:rsidP="008E301B">
            <w:pPr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Хімія</w:t>
            </w:r>
            <w:proofErr w:type="spellEnd"/>
            <w:r w:rsidRPr="008E30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E301B" w:rsidRPr="008E301B" w:rsidTr="00F40988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F40988" w:rsidP="008E30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Балакі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Катерина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Василівна</w:t>
            </w:r>
            <w:proofErr w:type="spellEnd"/>
            <w:r w:rsidR="008E301B" w:rsidRPr="008E301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F40988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F40988" w:rsidP="008E3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301B" w:rsidRPr="008E301B" w:rsidTr="00F40988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F40988" w:rsidP="008E30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Дуб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Анастасія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Анатоліївна</w:t>
            </w:r>
            <w:proofErr w:type="spellEnd"/>
            <w:r w:rsidR="008E301B" w:rsidRPr="008E301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F40988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F40988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1B" w:rsidRPr="008E301B" w:rsidTr="00F40988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F40988" w:rsidP="008E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Манілко Вадим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Олександрович</w:t>
            </w:r>
            <w:proofErr w:type="spellEnd"/>
            <w:r w:rsidR="008E301B" w:rsidRPr="008E301B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F40988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F40988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1B" w:rsidRPr="008E301B" w:rsidTr="00F40988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F40988" w:rsidP="008E30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іківна</w:t>
            </w:r>
            <w:proofErr w:type="spellEnd"/>
            <w:r w:rsidR="008E301B" w:rsidRPr="008E301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1B" w:rsidRPr="008E301B" w:rsidTr="00F40988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F40988" w:rsidP="008E30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Нагорний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Назар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Іванович</w:t>
            </w:r>
            <w:proofErr w:type="spellEnd"/>
            <w:r w:rsidR="008E301B" w:rsidRPr="008E301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F40988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F40988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1B" w:rsidRPr="008E301B" w:rsidTr="00F40988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F40988" w:rsidP="008E30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Надзівана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Миколаївна</w:t>
            </w:r>
            <w:proofErr w:type="spellEnd"/>
            <w:r w:rsidR="008E301B" w:rsidRPr="008E301B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1B" w:rsidRPr="008E301B" w:rsidTr="00922DF0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Олександр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922DF0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922DF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1B" w:rsidRPr="008E301B" w:rsidTr="00922DF0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922DF0" w:rsidP="008E301B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Сергій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Володимирович</w:t>
            </w:r>
            <w:proofErr w:type="spellEnd"/>
            <w:r w:rsidR="008E301B" w:rsidRPr="008E301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  <w:r w:rsidR="008E301B" w:rsidRPr="008E30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1B" w:rsidRPr="008E301B" w:rsidTr="00F40988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922DF0" w:rsidP="008E301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Притуляк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Аркадійович</w:t>
            </w:r>
            <w:proofErr w:type="spellEnd"/>
            <w:r w:rsidR="008E301B" w:rsidRPr="008E301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922DF0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922DF0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1B" w:rsidRPr="008E301B" w:rsidTr="00F40988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Фернега Павло Віталійович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1B" w:rsidRPr="008E301B" w:rsidTr="00F40988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Христюк Вадим Дмитрович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sz w:val="20"/>
                <w:szCs w:val="20"/>
              </w:rPr>
              <w:sym w:font="Wingdings" w:char="F0FC"/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01B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E301B" w:rsidRPr="008E301B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301B" w:rsidRPr="008E301B" w:rsidTr="00F40988">
        <w:trPr>
          <w:cantSplit/>
          <w:trHeight w:val="279"/>
        </w:trPr>
        <w:tc>
          <w:tcPr>
            <w:tcW w:w="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01B" w:rsidRPr="008E301B" w:rsidRDefault="008E301B" w:rsidP="008E30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ind w:right="142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8E301B" w:rsidP="00922DF0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01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922DF0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91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01B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DA3C8B" w:rsidRDefault="008E301B" w:rsidP="00DA3C8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E301B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DA3C8B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8E301B" w:rsidRDefault="008E301B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E301B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3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01B" w:rsidRPr="00922DF0" w:rsidRDefault="00922DF0" w:rsidP="008E301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</w:tr>
    </w:tbl>
    <w:p w:rsidR="008E301B" w:rsidRPr="008E301B" w:rsidRDefault="008E301B" w:rsidP="008E3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E301B" w:rsidRPr="008E301B" w:rsidRDefault="008E301B" w:rsidP="008E3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E3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301B" w:rsidRPr="00A4637E" w:rsidRDefault="008E301B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C5DDA"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хвалили</w:t>
      </w: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F5AFC" w:rsidRDefault="008E301B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предмети за вибором учнів 11класу у форматі ЗНО</w:t>
      </w:r>
      <w:r w:rsidR="000F5A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3C8B" w:rsidRDefault="00DA3C8B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01B" w:rsidRPr="00A4637E" w:rsidRDefault="000F5AFC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8E301B"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 w:rsidR="00AC5DDA"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лухали</w:t>
      </w: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01B" w:rsidRPr="008E301B" w:rsidRDefault="00F40988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Т.П., директора закладу</w:t>
      </w:r>
      <w:r w:rsidR="000F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сказала, що заклад </w:t>
      </w:r>
      <w:proofErr w:type="spellStart"/>
      <w:r w:rsidR="000F5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</w:t>
      </w:r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вогнегасниками</w:t>
      </w:r>
      <w:proofErr w:type="spellEnd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19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шт. 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Усі вогнегасники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порошкові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Перезарядження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вогнегасникі</w:t>
      </w:r>
      <w:proofErr w:type="gramStart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проведено у </w:t>
      </w:r>
      <w:proofErr w:type="spellStart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квітні</w:t>
      </w:r>
      <w:proofErr w:type="spellEnd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2021 року.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Проводиться </w:t>
      </w:r>
      <w:proofErr w:type="spellStart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авчання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</w:t>
      </w:r>
      <w:proofErr w:type="gram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перевірка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знань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пожежної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посадовими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особами</w:t>
      </w:r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відповідальними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пожежну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безпеку</w:t>
      </w:r>
      <w:proofErr w:type="spellEnd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протипожежний</w:t>
      </w:r>
      <w:proofErr w:type="spellEnd"/>
      <w:r w:rsidR="0038043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щит</w:t>
      </w:r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вказівник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proofErr w:type="gram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proofErr w:type="gram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ісцезнаходження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первинних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пожежогасіння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організовується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вивезення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сміття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територію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смі</w:t>
      </w:r>
      <w:proofErr w:type="gram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тт</w:t>
      </w:r>
      <w:proofErr w:type="gram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єзвалище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).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Електрообладнання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знаходиться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належному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контроль над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роботою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школи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Зробле</w:t>
      </w:r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</w:t>
      </w:r>
      <w:proofErr w:type="spellEnd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приміщення</w:t>
      </w:r>
      <w:proofErr w:type="spellEnd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техперсоналу.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ідтримується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належному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спортивний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майданчик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У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липні-серпні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2020 року проведений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косметичний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ремо</w:t>
      </w:r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нт </w:t>
      </w:r>
      <w:proofErr w:type="spellStart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кабінетів</w:t>
      </w:r>
      <w:proofErr w:type="spellEnd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коридорів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93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майстерні, шкільної їдальні .</w:t>
      </w:r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Планується</w:t>
      </w:r>
      <w:proofErr w:type="spellEnd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внутрішніх</w:t>
      </w:r>
      <w:proofErr w:type="spellEnd"/>
      <w:r w:rsidR="00C93C3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дверей</w:t>
      </w:r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корпусі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заміна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внутрішніх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дверей у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початковій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школі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жаль, при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дотриманні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санітарно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</w:t>
      </w:r>
      <w:proofErr w:type="gram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ієнічного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режиму в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навально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виховного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правил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протипожежної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масових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за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межами є ряд </w:t>
      </w:r>
      <w:proofErr w:type="spellStart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недоліків</w:t>
      </w:r>
      <w:proofErr w:type="spellEnd"/>
      <w:r w:rsidR="008E301B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8E301B" w:rsidRPr="008E301B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невідповідально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ставляться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обов’язків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чергового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вчителя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8E301B" w:rsidRPr="008E301B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не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встановлений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сертифікований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протипожежний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люк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виходу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горище; </w:t>
      </w:r>
    </w:p>
    <w:p w:rsidR="008E301B" w:rsidRPr="008E301B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коридори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проходи та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шляхи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евакуації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евакуаційним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освітленням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8E301B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не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обладнано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автоматичною</w:t>
      </w:r>
      <w:proofErr w:type="gram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пожежною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сигналізацією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C6487B" w:rsidRPr="00A4637E" w:rsidRDefault="00C6487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8E301B" w:rsidRPr="00A4637E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C5DDA"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хвалили</w:t>
      </w:r>
      <w:r w:rsidRPr="00A463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301B" w:rsidRPr="008E301B" w:rsidRDefault="008E301B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1.Продовжувати роботу з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протипожежної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обстеження</w:t>
      </w:r>
      <w:proofErr w:type="spellEnd"/>
      <w:r w:rsidR="000F5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F5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="000F5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F5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корпусів</w:t>
      </w:r>
      <w:proofErr w:type="spellEnd"/>
      <w:r w:rsidR="000F5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0F5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майстерні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їдальні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Start"/>
      <w:r w:rsidR="000F5AFC"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proofErr w:type="gram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котельні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E301B" w:rsidRPr="008E301B" w:rsidRDefault="008E301B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проводити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роз’яснювальну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r w:rsidR="000F5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F5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</w:t>
      </w:r>
      <w:proofErr w:type="spellEnd"/>
      <w:r w:rsidR="000F5AF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коллективу закладу </w:t>
      </w: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пожежної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техногенної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</w:p>
    <w:p w:rsidR="008E301B" w:rsidRPr="008E301B" w:rsidRDefault="008E301B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 </w:t>
      </w:r>
      <w:proofErr w:type="spellStart"/>
      <w:proofErr w:type="gram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іністрація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,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2021року</w:t>
      </w:r>
    </w:p>
    <w:p w:rsidR="008E301B" w:rsidRPr="008E301B" w:rsidRDefault="008E301B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3.Проводити 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протипожежні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інструктажі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техногенної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кочегарами,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шкільної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їдальні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(про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робити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відмітки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в 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Журналі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інструктажів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техперсоналу).</w:t>
      </w:r>
    </w:p>
    <w:p w:rsidR="008E301B" w:rsidRDefault="008E301B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4.Проводити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ПБ з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педагогічними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8E301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A7AD7" w:rsidRDefault="00BA7AD7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BA7AD7" w:rsidRPr="00A4637E" w:rsidRDefault="00BA7AD7" w:rsidP="00A4637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463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6. </w:t>
      </w:r>
      <w:proofErr w:type="spellStart"/>
      <w:r w:rsidRPr="00A463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Слухали</w:t>
      </w:r>
      <w:proofErr w:type="spellEnd"/>
      <w:r w:rsidRPr="00A4637E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9D6A14" w:rsidRPr="009D6A14" w:rsidRDefault="009D6A14" w:rsidP="00A463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4">
        <w:rPr>
          <w:rFonts w:ascii="Times New Roman" w:eastAsia="Calibri" w:hAnsi="Times New Roman" w:cs="Times New Roman"/>
          <w:sz w:val="28"/>
          <w:szCs w:val="28"/>
        </w:rPr>
        <w:t xml:space="preserve">Романюк А.В., ЗДНР, яка повідомила, що відповідно до </w:t>
      </w:r>
      <w:proofErr w:type="spellStart"/>
      <w:r w:rsidRPr="009D6A14">
        <w:rPr>
          <w:rFonts w:ascii="Times New Roman" w:eastAsia="Calibri" w:hAnsi="Times New Roman" w:cs="Times New Roman"/>
          <w:sz w:val="28"/>
          <w:szCs w:val="28"/>
        </w:rPr>
        <w:t>інструктивно</w:t>
      </w:r>
      <w:proofErr w:type="spellEnd"/>
      <w:r w:rsidRPr="009D6A14">
        <w:rPr>
          <w:rFonts w:ascii="Times New Roman" w:eastAsia="Calibri" w:hAnsi="Times New Roman" w:cs="Times New Roman"/>
          <w:sz w:val="28"/>
          <w:szCs w:val="28"/>
        </w:rPr>
        <w:t xml:space="preserve"> – методичного листа  МОН України № 1/9- 61 від 06.02.2008 року «Про </w:t>
      </w:r>
      <w:r w:rsidRPr="009D6A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методичні рекомендації щодо організації </w:t>
      </w:r>
      <w:proofErr w:type="spellStart"/>
      <w:r w:rsidRPr="009D6A14">
        <w:rPr>
          <w:rFonts w:ascii="Times New Roman" w:eastAsia="Calibri" w:hAnsi="Times New Roman" w:cs="Times New Roman"/>
          <w:sz w:val="28"/>
          <w:szCs w:val="28"/>
        </w:rPr>
        <w:t>навчально</w:t>
      </w:r>
      <w:proofErr w:type="spellEnd"/>
      <w:r w:rsidRPr="009D6A14">
        <w:rPr>
          <w:rFonts w:ascii="Times New Roman" w:eastAsia="Calibri" w:hAnsi="Times New Roman" w:cs="Times New Roman"/>
          <w:sz w:val="28"/>
          <w:szCs w:val="28"/>
        </w:rPr>
        <w:t xml:space="preserve"> – виховного процесу під час проведення навчальних екскурсій та навчальної практики учнів загальноосвітніх навчальних закладів», провести навчал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ьні екскурсії у 1 – 4 класах  та </w:t>
      </w:r>
      <w:r w:rsidRPr="009D6A14">
        <w:rPr>
          <w:rFonts w:ascii="Times New Roman" w:eastAsia="Calibri" w:hAnsi="Times New Roman" w:cs="Times New Roman"/>
          <w:sz w:val="28"/>
          <w:szCs w:val="28"/>
        </w:rPr>
        <w:t xml:space="preserve"> у 5 – 8 та 10  </w:t>
      </w:r>
      <w:r>
        <w:rPr>
          <w:rFonts w:ascii="Times New Roman" w:eastAsia="Calibri" w:hAnsi="Times New Roman" w:cs="Times New Roman"/>
          <w:sz w:val="28"/>
          <w:szCs w:val="28"/>
        </w:rPr>
        <w:t>класах.</w:t>
      </w:r>
      <w:r w:rsidRPr="009D6A14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</w:p>
    <w:p w:rsidR="00DA3C8B" w:rsidRDefault="00DA3C8B" w:rsidP="00A4637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D6A14" w:rsidRPr="009D6A14" w:rsidRDefault="009D6A14" w:rsidP="00A4637E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D6A14">
        <w:rPr>
          <w:rFonts w:ascii="Times New Roman" w:eastAsia="Calibri" w:hAnsi="Times New Roman" w:cs="Times New Roman"/>
          <w:b/>
          <w:sz w:val="28"/>
          <w:szCs w:val="28"/>
        </w:rPr>
        <w:t>Ухвалили:</w:t>
      </w:r>
    </w:p>
    <w:p w:rsidR="009D6A14" w:rsidRPr="009D6A14" w:rsidRDefault="009D6A14" w:rsidP="00A4637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6A14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Головам </w:t>
      </w:r>
      <w:r w:rsidRPr="009D6A14">
        <w:rPr>
          <w:rFonts w:ascii="Times New Roman" w:eastAsia="Calibri" w:hAnsi="Times New Roman" w:cs="Times New Roman"/>
          <w:sz w:val="28"/>
          <w:szCs w:val="28"/>
        </w:rPr>
        <w:t>МО на засідання  обговорити зміст і форми навчальних екскурсій та навчальної практики з урахуванням змісту навчальних програм.</w:t>
      </w:r>
    </w:p>
    <w:p w:rsidR="00DA3C8B" w:rsidRDefault="00DA3C8B" w:rsidP="00A4637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80433" w:rsidRPr="00DA3C8B" w:rsidRDefault="00DA3C8B" w:rsidP="00DA3C8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7.</w:t>
      </w:r>
      <w:r w:rsidR="00380433" w:rsidRPr="00DA3C8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Слухали:</w:t>
      </w:r>
    </w:p>
    <w:p w:rsidR="00A4637E" w:rsidRDefault="00380433" w:rsidP="00A463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Терещенко Т.П., голову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атестаційної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яка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ознайомила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присутніх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результатами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атестації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2020 –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Так,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вчительці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історії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та права Мороз Н.М.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кваліфікаційна</w:t>
      </w:r>
      <w:proofErr w:type="spellEnd"/>
      <w:r w:rsidR="00A46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46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категорія</w:t>
      </w:r>
      <w:proofErr w:type="spellEnd"/>
      <w:r w:rsidR="00A46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</w:t>
      </w:r>
      <w:proofErr w:type="gram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proofErr w:type="gramEnd"/>
      <w:r w:rsidR="00A46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46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="00A46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A46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="00A4637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Романюк А.В.</w:t>
      </w:r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вчительці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англійської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мови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підтверджена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кваліфікаційна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категорія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380433" w:rsidRPr="00380433" w:rsidRDefault="00A4637E" w:rsidP="00A4637E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</w:t>
      </w:r>
      <w:proofErr w:type="gram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spellEnd"/>
      <w:proofErr w:type="gram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першої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Бондаренко Г.І.,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вчительці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математики,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підтверд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кваліфікаційна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спеціаліст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категорії</w:t>
      </w:r>
      <w:proofErr w:type="spellEnd"/>
      <w:r w:rsidR="00C6487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8E301B" w:rsidRPr="008E301B" w:rsidRDefault="008E301B" w:rsidP="00A4637E">
      <w:pPr>
        <w:tabs>
          <w:tab w:val="left" w:pos="1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E301B" w:rsidRPr="000F5AFC" w:rsidRDefault="008E301B" w:rsidP="008E3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01B" w:rsidRPr="000F5AFC" w:rsidRDefault="00A4637E" w:rsidP="009D6A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D6A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Голова: </w:t>
      </w:r>
      <w:r w:rsidR="008E301B" w:rsidRPr="000F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0F5AFC" w:rsidRPr="000F5A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Терещенко Т.П.</w:t>
      </w:r>
    </w:p>
    <w:p w:rsidR="008E301B" w:rsidRPr="000F5AFC" w:rsidRDefault="009D6A14" w:rsidP="009D6A1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1B" w:rsidRPr="000F5AF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</w:t>
      </w:r>
      <w:r w:rsidR="00A463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E301B" w:rsidRPr="000F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46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01B" w:rsidRPr="000F5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F5AFC" w:rsidRPr="000F5A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 Л.Б.</w:t>
      </w:r>
    </w:p>
    <w:p w:rsidR="00893719" w:rsidRDefault="00893719" w:rsidP="009D6A14">
      <w:pPr>
        <w:spacing w:line="360" w:lineRule="auto"/>
      </w:pPr>
    </w:p>
    <w:sectPr w:rsidR="00893719" w:rsidSect="00A4637E">
      <w:pgSz w:w="11906" w:h="16838"/>
      <w:pgMar w:top="851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404"/>
    <w:multiLevelType w:val="hybridMultilevel"/>
    <w:tmpl w:val="97EE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2787A"/>
    <w:multiLevelType w:val="hybridMultilevel"/>
    <w:tmpl w:val="343AE044"/>
    <w:lvl w:ilvl="0" w:tplc="CE4A89C0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302162"/>
    <w:multiLevelType w:val="hybridMultilevel"/>
    <w:tmpl w:val="F52C39D2"/>
    <w:lvl w:ilvl="0" w:tplc="3148FAB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4F7751C5"/>
    <w:multiLevelType w:val="hybridMultilevel"/>
    <w:tmpl w:val="97EE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C691B"/>
    <w:multiLevelType w:val="multilevel"/>
    <w:tmpl w:val="DA5215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4295"/>
    <w:rsid w:val="000066FA"/>
    <w:rsid w:val="0004437D"/>
    <w:rsid w:val="000662FE"/>
    <w:rsid w:val="00095569"/>
    <w:rsid w:val="000F004B"/>
    <w:rsid w:val="000F5AFC"/>
    <w:rsid w:val="001657AF"/>
    <w:rsid w:val="001D74E9"/>
    <w:rsid w:val="002519BF"/>
    <w:rsid w:val="00325DA7"/>
    <w:rsid w:val="00326EB2"/>
    <w:rsid w:val="00380433"/>
    <w:rsid w:val="00384295"/>
    <w:rsid w:val="00402791"/>
    <w:rsid w:val="0045728A"/>
    <w:rsid w:val="004B2BC5"/>
    <w:rsid w:val="004B57EE"/>
    <w:rsid w:val="004E6EF9"/>
    <w:rsid w:val="00582903"/>
    <w:rsid w:val="00587356"/>
    <w:rsid w:val="005A482B"/>
    <w:rsid w:val="006315F1"/>
    <w:rsid w:val="006335BC"/>
    <w:rsid w:val="0066026F"/>
    <w:rsid w:val="0069619D"/>
    <w:rsid w:val="00810744"/>
    <w:rsid w:val="00882449"/>
    <w:rsid w:val="00893719"/>
    <w:rsid w:val="008D4986"/>
    <w:rsid w:val="008E301B"/>
    <w:rsid w:val="00900342"/>
    <w:rsid w:val="00922DF0"/>
    <w:rsid w:val="009660C5"/>
    <w:rsid w:val="009D6A14"/>
    <w:rsid w:val="00A4637E"/>
    <w:rsid w:val="00AC5DDA"/>
    <w:rsid w:val="00BA7AD7"/>
    <w:rsid w:val="00BE1F2A"/>
    <w:rsid w:val="00C6487B"/>
    <w:rsid w:val="00C64A99"/>
    <w:rsid w:val="00C74DF9"/>
    <w:rsid w:val="00C93C39"/>
    <w:rsid w:val="00CF28EA"/>
    <w:rsid w:val="00D92AE1"/>
    <w:rsid w:val="00DA3C8B"/>
    <w:rsid w:val="00E316B2"/>
    <w:rsid w:val="00E44AF1"/>
    <w:rsid w:val="00EC7D1F"/>
    <w:rsid w:val="00F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301B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E3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5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mon.gov.ua/ua/npa/pro-zvilnennya-vid-prohodzhennya-dpa-uchniv-yaki-zavershuyut-zdobuttya-pochatkovoyi-ta-bazovoyi-zagalnoyi-serednoyi-osviti-u-20202021-navchalnomu-roci-zareyestrovano-v-ministerstvi-yusticiyi-ukrayini-16-bereznya-2021-roku-za-3383596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n.gov.ua/ua/npa/pro-zvilnennya-vid-prohodzhennya-dpa-uchniv-yaki-zavershuyut-zdobuttya-pochatkovoyi-ta-bazovoyi-zagalnoyi-serednoyi-osviti-u-20202021-navchalnomu-roci-zareyestrovano-v-ministerstvi-yusticiyi-ukrayini-16-bereznya-2021-roku-za-3383596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z0969-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z0008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92365-34CC-429F-805B-149ED7CA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8690</Words>
  <Characters>4954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Вікторівна</dc:creator>
  <cp:lastModifiedBy>Алла Вікторівна</cp:lastModifiedBy>
  <cp:revision>15</cp:revision>
  <cp:lastPrinted>2021-07-13T07:53:00Z</cp:lastPrinted>
  <dcterms:created xsi:type="dcterms:W3CDTF">2021-05-21T09:33:00Z</dcterms:created>
  <dcterms:modified xsi:type="dcterms:W3CDTF">2021-07-13T07:53:00Z</dcterms:modified>
</cp:coreProperties>
</file>