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0B" w:rsidRDefault="0001300B" w:rsidP="0001300B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СХВАЛЕНО                                                          ЗАТВЕРДЖУЮ</w:t>
      </w:r>
    </w:p>
    <w:p w:rsidR="0001300B" w:rsidRDefault="0001300B" w:rsidP="0001300B">
      <w:pPr>
        <w:shd w:val="clear" w:color="auto" w:fill="FFFFFF"/>
        <w:tabs>
          <w:tab w:val="left" w:pos="6390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На засідані педагогічної                                       Директор школи            </w:t>
      </w:r>
    </w:p>
    <w:p w:rsidR="0001300B" w:rsidRDefault="0001300B" w:rsidP="0001300B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ради школи                                                                                </w:t>
      </w:r>
      <w:r w:rsidRPr="000B0A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</w:p>
    <w:p w:rsidR="0001300B" w:rsidRDefault="0001300B" w:rsidP="0001300B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Протокол  № 1 від 03.01.2020 р.                                                  </w:t>
      </w:r>
    </w:p>
    <w:p w:rsidR="0001300B" w:rsidRDefault="0001300B" w:rsidP="0001300B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Голова педагогічної ради, директор                                      </w:t>
      </w:r>
      <w:r w:rsidRPr="00C76D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Тетяна ГЕТЬМАН</w:t>
      </w:r>
    </w:p>
    <w:p w:rsidR="0001300B" w:rsidRDefault="0001300B" w:rsidP="0001300B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школи___________ Тетяна ГЕТЬМАН               03.01.2020р.</w:t>
      </w: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Pr="005A4E05" w:rsidRDefault="0001300B" w:rsidP="0001300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 xml:space="preserve">                             П</w:t>
      </w:r>
      <w:r w:rsidR="005A4E05" w:rsidRPr="0001300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>оложення</w:t>
      </w:r>
    </w:p>
    <w:p w:rsidR="005A4E05" w:rsidRPr="005A4E05" w:rsidRDefault="005A4E05" w:rsidP="005A4E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val="uk-UA"/>
        </w:rPr>
      </w:pPr>
      <w:r w:rsidRPr="0001300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>про внутрішню систему забезпечення</w:t>
      </w:r>
      <w:r w:rsidRPr="005A4E0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 </w:t>
      </w:r>
      <w:r w:rsidRPr="0001300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>якості освітньої діяльності</w:t>
      </w:r>
    </w:p>
    <w:p w:rsidR="005A4E05" w:rsidRPr="005A4E05" w:rsidRDefault="005A4E05" w:rsidP="005A4E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val="uk-UA"/>
        </w:rPr>
      </w:pPr>
      <w:r w:rsidRPr="0001300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>та якості</w:t>
      </w:r>
      <w:r w:rsidRPr="005A4E0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 </w:t>
      </w:r>
      <w:r w:rsidRPr="0001300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 xml:space="preserve">освіти в </w:t>
      </w:r>
      <w:r w:rsidRPr="005A4E0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uk-UA"/>
        </w:rPr>
        <w:t>Нехворощанській ЗОШ І-ІІІ ст.</w:t>
      </w: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Default="005A4E05" w:rsidP="005A4E0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lang w:val="uk-UA"/>
        </w:rPr>
      </w:pP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І.</w:t>
      </w: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Загальні положення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Дане положення про внутрішню систему забезпечення якості освітньої діяльності та якості освіти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школі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(далі – ВСЗЯО) розроблено відповідно до Законів України «Про освіту»; «Про загальну середню освіту»; розпорядження Кабінету Міністрів України від 14 грудня 2016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р. №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ДСТУ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ISO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9001:2015 Системи управління якістю.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Вимоги; ДСТУ ISO 9000:2015 Системи управління якістю. Основні положення та словник термі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; наказу Міністерства освіти і науки України від 09.01.2019 № 17 «Про затвердження Порядку проведення інституційного аудиту закладів загальної середньої освіти» та затверджено  педагогічною радою гімназії (протокол №4 від 11.01.2019р)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 процесі розроблення  положення про ВСЗЯО враховувалися «Рекомендації до побудови внутрішньої системи забезпечення якості освіти у закладі загальної серед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ньої освіти»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Гетьман Т.І.,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Яцевич С.В.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Внутрішня система забез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печення якості освіти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школі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розбудовується на виконання статті 41 Закону України «Про освіту» для спрямування та контролю діяльності закладу щодо забезпечення якості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 створення та реалізації внутрішньої системи забезпечення якості освіти базується на таких принципах: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автономія закладу освіти;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академічна доброчесність;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академічна свобода;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гнучкість і адаптивність системи освітньої діяльності;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гуманізм;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 якості освіти та якості освітньої діяльності;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забезпечення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івного доступу до освіти без дискримінації за будь-якими ознаками, у тому числі за ознакою інвалідності;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демократизм;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державно-громадське управління;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доступність для кожного громадянина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іх форм і типів освітніх послуг, що надаються державою;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людиноцентризм, дитиноцентризм;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постійне вдосконалення освітньої діяльності;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свобода у виборі виді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темпу здобуття освіти, освітньої програми, закладу освіти, інших суб’єктів освітньої діяльності;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урахування впливу зовнішніх чинників;</w:t>
      </w:r>
    </w:p>
    <w:p w:rsidR="005A4E05" w:rsidRPr="005A4E05" w:rsidRDefault="005A4E05" w:rsidP="005A4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цілісність системи управління якістю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Метою розбудови та функціонування внутрішньої системи забез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печення якості освіти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школі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є:</w:t>
      </w:r>
      <w:proofErr w:type="gramEnd"/>
    </w:p>
    <w:p w:rsidR="005A4E05" w:rsidRPr="005A4E05" w:rsidRDefault="005A4E05" w:rsidP="005A4E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гарантування якості освіти;</w:t>
      </w:r>
    </w:p>
    <w:p w:rsidR="005A4E05" w:rsidRPr="005A4E05" w:rsidRDefault="005A4E05" w:rsidP="005A4E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формування довіри громади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освіти;</w:t>
      </w:r>
    </w:p>
    <w:p w:rsidR="005A4E05" w:rsidRPr="005A4E05" w:rsidRDefault="005A4E05" w:rsidP="005A4E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постійне та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посл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ідовне підвищення якості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Відповідальність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впровадження ВСЗЯО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школі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кладається на директора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школи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ІІ. Структура внутрішньої системи забезпечення якості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Складовими системи забезп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ечення якості освіти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закладі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є:</w:t>
      </w:r>
      <w:proofErr w:type="gramEnd"/>
    </w:p>
    <w:p w:rsidR="005A4E05" w:rsidRPr="005A4E05" w:rsidRDefault="005A4E05" w:rsidP="005A4E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політика та процедури внутрішньої системи забезпечення якості освіти;</w:t>
      </w:r>
    </w:p>
    <w:p w:rsidR="005A4E05" w:rsidRPr="005A4E05" w:rsidRDefault="005A4E05" w:rsidP="005A4E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та механізми забезпечення академічної доброчесності в закладі освіти;</w:t>
      </w:r>
    </w:p>
    <w:p w:rsidR="005A4E05" w:rsidRPr="005A4E05" w:rsidRDefault="005A4E05" w:rsidP="005A4E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критерії, правила і процедури оцінювання здобувачів освіти;</w:t>
      </w:r>
    </w:p>
    <w:p w:rsidR="005A4E05" w:rsidRPr="005A4E05" w:rsidRDefault="005A4E05" w:rsidP="005A4E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критерії, правила і процедури оцінювання педагогічної діяльності педагогічних працівникі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A4E05" w:rsidRPr="005A4E05" w:rsidRDefault="005A4E05" w:rsidP="005A4E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критерії, правила і процедури оцінювання управлінської діяльності керівних працівникі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освіти;</w:t>
      </w:r>
    </w:p>
    <w:p w:rsidR="005A4E05" w:rsidRPr="005A4E05" w:rsidRDefault="005A4E05" w:rsidP="005A4E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механізми реалізації внутрішньої системи забезпечення якості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ІІІ. Політика та процедури забезпечення внутрішньої системи забезпечення якості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Політика внутрішньої системи забезпечення якості освіти спрямована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3.1. створення системи та механізмів забезпечення академічної доброчесності;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3.2. забезпечення наявності інформаційних систем для ефективного управління закладом освіти;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3.3. забезпечення наявності в закладі освіти необхідних ресурсів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організації освітнього процесу;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3.4. створення в закладі освіти інклюзивного освітнього середовища;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3.5. запобігання та протидію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бул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інгу (цькуванню);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3.6. застосування системи внутрішнього моніторингу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відстеження та коригування результатів освітньої діяльності.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3.1. Створення системи та механізмів забезпечення академічної доброчесності (див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озділ ІV);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3.2. Забезпечення наявності інформаційних систем для ефективного управління закладом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ефективного управління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закладом освіти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має бути забезпечена такими компонентами інформаційних систем, як:</w:t>
      </w:r>
    </w:p>
    <w:p w:rsidR="005A4E05" w:rsidRPr="005A4E05" w:rsidRDefault="005A4E05" w:rsidP="005A4E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сучасна мережа Інтернет;</w:t>
      </w:r>
    </w:p>
    <w:p w:rsidR="005A4E05" w:rsidRPr="005A4E05" w:rsidRDefault="005A4E05" w:rsidP="005A4E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технічне забезпечення (комп’ютерне, мультимедійн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>е обладнання, цифрові засоби</w:t>
      </w:r>
      <w:proofErr w:type="gramStart"/>
      <w:r w:rsidR="003A5B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)</w:t>
      </w:r>
      <w:proofErr w:type="gramEnd"/>
      <w:r w:rsidR="003A5B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:rsidR="005A4E05" w:rsidRPr="005A4E05" w:rsidRDefault="005A4E05" w:rsidP="005A4E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іцензовані програмні продукти, електронні освітні ресурси;</w:t>
      </w:r>
    </w:p>
    <w:p w:rsidR="005A4E05" w:rsidRPr="005A4E05" w:rsidRDefault="005A4E05" w:rsidP="005A4E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єдиний інформаційний прості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(можливість спільного використання суб’єктами освіти наявних у системі електронних ресурсів);</w:t>
      </w:r>
    </w:p>
    <w:p w:rsidR="005A4E05" w:rsidRPr="005A4E05" w:rsidRDefault="005A4E05" w:rsidP="005A4E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доступ до наявних освітніх веб-ресурсів (веб-сайти, блоги педагогів, сайт закладу освіти, платформа для дистанційної освіти);</w:t>
      </w:r>
    </w:p>
    <w:p w:rsidR="005A4E05" w:rsidRPr="005A4E05" w:rsidRDefault="005A4E05" w:rsidP="005A4E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інформаційні ресурси навчального призначення (бібліотека, бази даних, інформаційні системи, програмне забезпечення, засоби зв’язку, комп’ютерні та телекомунікаційні мережі, раді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телеканали тощо).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3.3. Забезпечення наявності необхідних ресурсів 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gramEnd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організації освітнього процесу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організації освітн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ього процесу 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заклад освіти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має бути забезпечений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такими ресурсами, як: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Державний стандарт загальної середньої освіти;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типові освітні програми;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статут закладу освіти;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стратегія розвитку закладу освіти;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ічний план роботи закладу освіти;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освітня програма закладу освіти;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штатний розпис закладу освіти;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календарно-тематичне планування;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методики та технології організації освітнього процесу;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методики роботи з дітьми з особливими освітніми потребами;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іального та морального заохочення;</w:t>
      </w:r>
    </w:p>
    <w:p w:rsidR="005A4E05" w:rsidRPr="005A4E05" w:rsidRDefault="005A4E05" w:rsidP="005A4E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кваліфікації педагогічних працівників.</w:t>
      </w:r>
    </w:p>
    <w:p w:rsidR="005A4E05" w:rsidRPr="005A4E05" w:rsidRDefault="003A5BA6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3.4. Створення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закладі освіти</w:t>
      </w:r>
      <w:r w:rsidR="005A4E05"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інклюзивного освітнього середовища</w:t>
      </w:r>
    </w:p>
    <w:p w:rsidR="005A4E05" w:rsidRPr="005A4E05" w:rsidRDefault="003A5BA6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Створення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закладі освіти</w:t>
      </w:r>
      <w:r w:rsidR="005A4E05"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інклюзивного освітнього середовища передбача</w:t>
      </w:r>
      <w:proofErr w:type="gramStart"/>
      <w:r w:rsidR="005A4E05"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є:</w:t>
      </w:r>
      <w:proofErr w:type="gramEnd"/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організацію безбар’єрного простору (фізичну можливість та зручність потрапляння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закладу освіти, фізичну безпеку при пересуванні в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ньому; можливість вільного отримання інформації про заклад освіти і освітні послуги, що надаються);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облаштування ресурсної кімнати (організація зони навчання та побутово-практичної зони);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забезпечення медіатеки мультимедійними засобами для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максимального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наближення дітей до необхідних джерел інформації;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створення комплексної системи заходів із супроводу учня з особливими освітніми потребами (корекційно-розвивальні заняття з практичним психологом, вчителем-логопедом, вчителем-дефектологом, вчителем-реабілітологом);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адаптацію та модифікацію типової освітньої програми або її компонентів (гнучкість програми,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ізні навчальні методики і проведення відповідного оцінювання, розробка індивідуальної програми розвитку);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ів у взаємодії, неупередженості та недопущення дискримінації;</w:t>
      </w:r>
    </w:p>
    <w:p w:rsidR="005A4E05" w:rsidRPr="005A4E05" w:rsidRDefault="005A4E05" w:rsidP="005A4E0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здійснення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психолого-педагог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3.5. Запобігання та протидія 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бул</w:t>
      </w:r>
      <w:proofErr w:type="gramEnd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інгу (цькуванню)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Запобігання та протиді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proofErr w:type="gramStart"/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>бул</w:t>
      </w:r>
      <w:proofErr w:type="gramEnd"/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інгу (цькуванню) в 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закладі освіти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передбачає:</w:t>
      </w:r>
    </w:p>
    <w:p w:rsidR="005A4E05" w:rsidRPr="005A4E05" w:rsidRDefault="005A4E05" w:rsidP="005A4E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розроблення та оприлюднення правил поведінки здобувача освіти в закладі освіти;</w:t>
      </w:r>
    </w:p>
    <w:p w:rsidR="005A4E05" w:rsidRPr="005A4E05" w:rsidRDefault="005A4E05" w:rsidP="005A4E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розроблення та оприлюднення плану заходів, спрямованих на запобігання та протидію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бул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інгу (цькуванню) в закладі освіти;</w:t>
      </w:r>
    </w:p>
    <w:p w:rsidR="005A4E05" w:rsidRPr="005A4E05" w:rsidRDefault="005A4E05" w:rsidP="005A4E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розроблення та оприлюднення порядку подання та розгляду (з дотриманням конфіденційності) заяв про випадки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бул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інгу (цькування) в закладі освіти;</w:t>
      </w:r>
    </w:p>
    <w:p w:rsidR="005A4E05" w:rsidRPr="005A4E05" w:rsidRDefault="005A4E05" w:rsidP="005A4E0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розроблення та оприлюднення порядку реагування на доведені випадк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>бул</w:t>
      </w:r>
      <w:proofErr w:type="gramEnd"/>
      <w:r w:rsidR="003A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інгу (цькування) в </w:t>
      </w:r>
      <w:r w:rsidR="003A5B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закладі освіти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відповідальності осіб, причетних до булінгу (цькування) тощо.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3.6. Застосування системи внутрішнього моніторингу 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gramEnd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відстеження та коригування результатів освітньої діяльності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складу системи внутрішнього моніторингу належать:</w:t>
      </w:r>
    </w:p>
    <w:p w:rsidR="005A4E05" w:rsidRPr="005A4E05" w:rsidRDefault="005A4E05" w:rsidP="005A4E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внутрішнього моніторингу якості освітньої діяльності та якості освіти;</w:t>
      </w:r>
    </w:p>
    <w:p w:rsidR="005A4E05" w:rsidRPr="005A4E05" w:rsidRDefault="005A4E05" w:rsidP="005A4E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система самооцінювання якості педагогічної та управлінської діяльності;</w:t>
      </w:r>
    </w:p>
    <w:p w:rsidR="005A4E05" w:rsidRPr="005A4E05" w:rsidRDefault="005A4E05" w:rsidP="005A4E0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оцінювання навчальних досягнень учні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 збору інформації:</w:t>
      </w:r>
    </w:p>
    <w:p w:rsidR="005A4E05" w:rsidRPr="005A4E05" w:rsidRDefault="005A4E05" w:rsidP="005A4E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Аналіз документів (плани роботи, звіти, протоколи засідань педагогічної ради, класні журнали тощо).</w:t>
      </w:r>
    </w:p>
    <w:p w:rsidR="005A4E05" w:rsidRPr="005A4E05" w:rsidRDefault="005A4E05" w:rsidP="005A4E0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Опитування: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– анкетування учасників освітнього процесу (педагогів, учнів, батьків);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– інтерв’ю (з педагогічними працівниками, представниками учнівського самоврядування);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– фокус-групи (з батьками, учнями, представниками учнівського самоврядування, педагогами).</w:t>
      </w:r>
    </w:p>
    <w:p w:rsidR="005A4E05" w:rsidRPr="005A4E05" w:rsidRDefault="005A4E05" w:rsidP="005A4E0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Моніторинг: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– навчальних досягнень здобувачів освіти;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– педагогічної діяльності (спостереження за проведенням навчальних занять, позакласною роботою тощо);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– спостереження за освітнім середовищем (сані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тарно-г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ігієнічні умови, стан забезпечення навчальних приміщень, безпека спортивних та ігрових майданчиків, робота їдальні та буфету, вплив середовища на навчальну діяльність тощо).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Інструментарій методів збору інформації:</w:t>
      </w:r>
    </w:p>
    <w:p w:rsidR="005A4E05" w:rsidRPr="005A4E05" w:rsidRDefault="005A4E05" w:rsidP="005A4E0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пам’ятки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аналізу документів (щодо системи оцінювання навчальних досягнень учнів; фінансування закладу освіти; кількісно-якісного складу педагогічних працівників тощо);</w:t>
      </w:r>
    </w:p>
    <w:p w:rsidR="005A4E05" w:rsidRPr="005A4E05" w:rsidRDefault="005A4E05" w:rsidP="005A4E0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анкети (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педагогів, учнів, батьків);</w:t>
      </w:r>
    </w:p>
    <w:p w:rsidR="005A4E05" w:rsidRPr="005A4E05" w:rsidRDefault="005A4E05" w:rsidP="005A4E0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бланки спостереження (за проведенням навчальних занять, позакласною роботою тощо).</w:t>
      </w:r>
    </w:p>
    <w:p w:rsidR="005A4E05" w:rsidRPr="005A4E05" w:rsidRDefault="005A4E05" w:rsidP="005A4E0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Система та механізми забезпечення академічної доброчесності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4.1. Дотримання академічної доброчесності педагогічними працівниками передбача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є:</w:t>
      </w:r>
      <w:proofErr w:type="gramEnd"/>
    </w:p>
    <w:p w:rsidR="005A4E05" w:rsidRPr="005A4E05" w:rsidRDefault="005A4E05" w:rsidP="005A4E0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посилання на джерела інформації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разі використання ідей, розробок, тверджень, відомостей;</w:t>
      </w:r>
    </w:p>
    <w:p w:rsidR="005A4E05" w:rsidRPr="005A4E05" w:rsidRDefault="005A4E05" w:rsidP="005A4E0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 норм законодавства про авторське право і суміжні права;</w:t>
      </w:r>
    </w:p>
    <w:p w:rsidR="005A4E05" w:rsidRPr="005A4E05" w:rsidRDefault="005A4E05" w:rsidP="005A4E0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надання достовірної інформації про методики і результати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досл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іджень, джерела використаної інформації та власну педагогічну діяльність;</w:t>
      </w:r>
    </w:p>
    <w:p w:rsidR="005A4E05" w:rsidRPr="005A4E05" w:rsidRDefault="005A4E05" w:rsidP="005A4E0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контроль за дотриманням академічної доброчесності здобувачами освіти;</w:t>
      </w:r>
    </w:p>
    <w:p w:rsidR="005A4E05" w:rsidRPr="005A4E05" w:rsidRDefault="005A4E05" w:rsidP="005A4E0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об’єктивне оцінювання результатів навчання.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4.2. Дотримання академічної доброчесності здобувачами освіти передбача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є:</w:t>
      </w:r>
      <w:proofErr w:type="gramEnd"/>
    </w:p>
    <w:p w:rsidR="005A4E05" w:rsidRPr="005A4E05" w:rsidRDefault="005A4E05" w:rsidP="005A4E0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самостійне виконання навчальних завдань, завдань поточного та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5A4E05" w:rsidRPr="005A4E05" w:rsidRDefault="005A4E05" w:rsidP="005A4E0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посилання на джерела інформації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разі використання ідей, розробок, тверджень, відомостей;</w:t>
      </w:r>
    </w:p>
    <w:p w:rsidR="005A4E05" w:rsidRPr="005A4E05" w:rsidRDefault="005A4E05" w:rsidP="005A4E0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 норм законодавства про авторське право і суміжні права;</w:t>
      </w:r>
    </w:p>
    <w:p w:rsidR="005A4E05" w:rsidRPr="005A4E05" w:rsidRDefault="005A4E05" w:rsidP="005A4E0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 достовірної інформації про результати власної навчальної діяльності і джерела інформації.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4.3. За порушення академічної доброчесності педагогічні працівники гімназії можуть бути притягнені до такої академічної відповідальності:</w:t>
      </w:r>
    </w:p>
    <w:p w:rsidR="005A4E05" w:rsidRPr="005A4E05" w:rsidRDefault="005A4E05" w:rsidP="005A4E0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відмова в присвоєнні кваліфікаційної категорії;</w:t>
      </w:r>
    </w:p>
    <w:p w:rsidR="005A4E05" w:rsidRPr="005A4E05" w:rsidRDefault="005A4E05" w:rsidP="005A4E0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позбавлення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присво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єної кваліфікаційної категорії;</w:t>
      </w:r>
    </w:p>
    <w:p w:rsidR="005A4E05" w:rsidRPr="005A4E05" w:rsidRDefault="005A4E05" w:rsidP="005A4E0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відмова в присвоєнні педагогічного звання;</w:t>
      </w:r>
    </w:p>
    <w:p w:rsidR="005A4E05" w:rsidRPr="005A4E05" w:rsidRDefault="005A4E05" w:rsidP="005A4E0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позбавлення присвоєного педагогічного звання;</w:t>
      </w:r>
    </w:p>
    <w:p w:rsidR="005A4E05" w:rsidRPr="005A4E05" w:rsidRDefault="005A4E05" w:rsidP="005A4E0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позбавлення права брати участь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роботі визначених законом органів чи займати визначені законом посади.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4.4. За порушення академічної доброчесності здобувачі освіти можуть бути притягнені до такої академічної відповідальності:</w:t>
      </w:r>
    </w:p>
    <w:p w:rsidR="005A4E05" w:rsidRPr="005A4E05" w:rsidRDefault="005A4E05" w:rsidP="005A4E0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повторне проходження оцінювання (контрольна, практична, лабораторна роботи, тест, залік тощо);</w:t>
      </w:r>
    </w:p>
    <w:p w:rsidR="005A4E05" w:rsidRPr="005A4E05" w:rsidRDefault="005A4E05" w:rsidP="005A4E0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повторне проходження відповідного освітнього компонента освітньої програми.</w:t>
      </w:r>
    </w:p>
    <w:p w:rsidR="005A4E05" w:rsidRPr="005A4E05" w:rsidRDefault="005A4E05" w:rsidP="005A4E0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Критерії, правила і процедури оцінювання здобувачів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Критерії, правила і процедури оцінювання учнів у гімназії визначаються на основі положень відповідних наказів МОН України щодо оцінювання навчальних досягнень учні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системі загальної середньої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5.1. 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самооцінювання (відповідно до наказу МОН України від 20.08.2018  № 924 «Про затвердження методичних рекомендацій щодо 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оцінювання навчальних досягнень учнів першого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класу у Новій українській школі»).</w:t>
      </w:r>
      <w:proofErr w:type="gramEnd"/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5.2. Навчальні досягнення учнів других класів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ідлягають формувальному і підсумковому (тематичному та завершальному) оцінюванню. Оцінювання результатів навчання учнів других класів здійснюється вербально (відповідно до наказу МОН України від 27.08.2019 № 1154 «Про затвердження методичних рекомендацій щодо оцінювання навчальних досягнень учнів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другого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класу»).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5.3. Оцінювання навчальних досягнень учнів 3-4 класів здійснюється вербально (відповідно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наказу МОН України від 21.08.2013  № 1222 «Про затвердження орієнтовних вимог оцінювання навчальних досягнень учнів із базових дисциплін у системі загальної середньої освіти»):</w:t>
      </w:r>
    </w:p>
    <w:p w:rsidR="005A4E05" w:rsidRPr="005A4E05" w:rsidRDefault="005A4E05" w:rsidP="005A4E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 предметів інваріантної складової: «Інформатика», «Музичне мистецтво», «Образотворче мистецтво», інтегрованого курсу «Мистецтво», «Основи здоров’я», «Фізична культура», «Я у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іті» та «Трудове навчання»;</w:t>
      </w:r>
    </w:p>
    <w:p w:rsidR="005A4E05" w:rsidRPr="005A4E05" w:rsidRDefault="005A4E05" w:rsidP="005A4E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 усіх предметів варіативної складової.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Оцінювання навчальних досягнень учнів здійснюється за 12-бальною шкалою:</w:t>
      </w:r>
    </w:p>
    <w:p w:rsidR="005A4E05" w:rsidRPr="005A4E05" w:rsidRDefault="005A4E05" w:rsidP="005A4E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 предметів інваріантної складової освітніх галузей: «Мови і літератури (мовний і літературний компоненти)», «Математика», «Природознавство».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5.4. Оцінювання навчальних досягнень учнів основної школи здійснюється за 12-бальною шкалою (відповідно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наказу МОН України від 21.08.2013 № 1222 «Про затвердження орієнтовних вимог оцінювання навчальних досягнень учнів із базових дисциплін у системі загальної середньої освіти»).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Відповідно до ступеня оволодіння знаннями і способами діяльності виокремлюються чотири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івні навчальних досягнень учнів: початковий, середній, достатній, високий.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Оцінювання здійснюється у процесі повсякденного вивчення результатів навчальної роботи учні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також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ін.).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5.5. Оцінювання навчальних досягнень учнів старшої школи здійснюється за 12-бальною системо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ю(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шкалою) і його результати позначаються цифрами від 1 до 12 (відповідно до наказу МОН України від 13.04.2011 № 329 «Про затвердження Критеріїв оцінювання навчальних досягнень учнів (вихованців) у системі загальної середньої освіти»).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Обов’язковому оцінюванню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ідлягають навчальні досягнення учнів з предметів інваріантної складової навчального плану закладу.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5.6. Державна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ідсумкова атестація осіб, які здобувають загальну середню освіту в гімназії, відбувається відповідно до наказу МОН України від 07.12.2018 № 1369 «Про затвердження Порядку проведення державної підсумкової атестації» (Із змінами, внесеними згідно з наказом Міністерства освіти і науки України </w:t>
      </w:r>
      <w:hyperlink r:id="rId5" w:anchor="n2" w:history="1">
        <w:r w:rsidRPr="005A4E05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№ 221 від 18.02.2019</w:t>
        </w:r>
      </w:hyperlink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5A4E05" w:rsidRPr="005A4E05" w:rsidRDefault="005A4E05" w:rsidP="005A4E0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Критерії, правила і процедури оцінювання педагогічної діяльності педагогічних працівникі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09.01.2019 № 17 «Про затвердження Порядку проведення інституційного аудиту закладів загальної середньої освіти».</w:t>
      </w:r>
      <w:proofErr w:type="gramEnd"/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6.1. Вимога 1.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Ефективність планування педагогічними працівниками своєї діяльності, використання сучасних освітніх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ідходів до організації освітнього процесу з метою формування ключових компетентностей здобувачів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 Педагогічні працівники планують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свою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діяльність, аналізують її результативність.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1.2. Педагогічні працівники застосовують освітні технології, спрямовані на формування ключових компетентностей і наскрізних умінь здобувачів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 Педагогічні працівники беруть участь у формуванні та реалізації індивідуальних освітніх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траєктор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ій для здобувачів освіти (за потреби).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1.4 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1.5. Педагогічні працівники сприяють формуванню суспільних цінностей у здобувачів освіти у процесі їх навчання, виховання та розвитку.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1.6. Педагогічні працівники використовують інформаційно-комунікаційні технології в освітньому процесі.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6.2. Вимога 2.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Постійне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професійного рівня і педагогічної майстерності педагогічних працівників.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 Педагогічні працівники забезпечують власний професійний розвиток і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кваліфікації, у тому числі щодо методик роботи з дітьми з особливими освітніми потребами.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2.2. Педагогічні працівники здійснюють інноваційну освітню діяльність, беруть участь у освітні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проектах, залучаються до роботи як освітні експерти.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6.3. Вимога 3.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Налагодження співпраці зі здобувачами освіти, їх батьками, працівниками закладу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3.1. Педагогічні працівники діють на засадах педагогіки партнерства.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3.2. Педагогічні працівники співпрацюють з батьками здобувачів освіти з питань організації освітнього процесу, забезпечують постійний зворотній зв’язок.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3.3. У закладі осві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ти існу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є практика педагогічного наставництва, взаємонавчання та інших форм професійної співпраці.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6.4. Вимога 4.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Організація педагогічної діяльності та навчання здобувачів осві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ти на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засадах академічної доброчесності.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 Педагогічні працівники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 час провадження педагогічної та наукової (творчої) діяльності дотримуються академічної доброчесності.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4.2. Педагогічні працівники сприяють дотриманню академічної доброчесності здобувачами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VII. Критерії, правила і процедури оцінювання управлінської діяльності керівних працівникі</w:t>
      </w:r>
      <w:proofErr w:type="gramStart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закладу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Критерії, правила і процедури оцінювання управлінської діяльності керівних працівникі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 визначаються на основі положень наказу Міністерства освіти і науки України від 09.01.2019 № 17 «Про затвердження Порядку проведення інституційного аудиту закладів загальної середньої освіти».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7.1. Вимога 1.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Наявність стратегії розвитку та системи планування діяльності закладу, моніторинг виконання поставлених цілей і завдань.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 У закладі освіти затверджено стратегію його розвитку, спрямовану на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якості освітньої діяльності.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 У закладі освіти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ічне планування та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1.3. 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 освіти здійснюється самооцінювання якості освітньої діяльності на основі стратегії (політики) і процедур забезпечення якості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1.4. Керівництво закладу освіти планує та здійснює заходи щодо утримання у належному стані будівель, приміщень, обладнання.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7.2. Вимога 2.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Формування відносин довіри, прозорості, дотримання етичних норм.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 Керівництво закладу освіти сприяє створенню психологічно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комфортного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 Заклад освіти оприлюднює інформацію про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свою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діяльність на відкритих загальнодоступних ресурсах.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7.3. Вимога 3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. Ефективність кадрової політики та забезпечення можливостей для професійного розвитку педагогічних працівникі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 Керівник закладу освіти формує штат закладу, залучаючи кваліфікованих педагогічних та інших працівників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ідповідно до штатного розпису та освітньої програми.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3.2. Керівництво закладу освіти за допомогою системи матеріального та морального заохочення мотивує педагогічних працівників до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ідвищення якості освітньої діяльності, саморозвитку, здійснення інноваційної освітньої діяльності.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3.3. Керівництво закладу освіти сприяє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ідвищенню кваліфікації педагогічних працівників.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7.4. Вимога 4.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Організація освітнього процесу на засадах людиноцентризму, прийняття управлінських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ішень на основі конструктивної співпраці учасників освітнього процесу, взаємодія закладу освіти з місцевою громадою.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4.1. 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У закладі освіти створюються умови для реалізації прав і обов’язків учасників освітнього процесу.</w:t>
      </w:r>
      <w:proofErr w:type="gramEnd"/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4.2. Управлінські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ішення приймаються з урахуванням пропозицій учасників освітнього процесу.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4.3. Керівництво закладу освіти створює умови для розвитку громадського самоврядування.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4.4. 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4.5. Режим роботи закладу освіти та розклад занять враховують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ікові особливості здобувачів освіти, відповідають їх освітнім потребам.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4.6. У закладі освіти створюються умови для реалізації індивідуальних освітніх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траєктор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ій здобувачів освіти.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7.5. Вимога 5. 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Формування та забезпечення реалізації політики академічної доброчесності.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Критерії оцінювання: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5.1. Заклад освіти впроваджує політику академічної доброчесності.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5.2. Керівництво закладу освіти сприяє формуванню в учасників освітнього процесу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негативного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ставлення до корупції.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VIIІ. Механізми реалізації внутрішньої системи забезпечення якості освіти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Механізми реалізації ВСЗЯО передбачають здійснення періодичного оцінювання компонентів гімназії за напрямами оцінювання відповідальними посадовими особами і представниками громадських структур закладу осві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ти на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основі визначених методів збору інформації та відповідного інструментарію. Отримана інформація узагальнюється, відповідний компонент оцінюється,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ісля чого зазначені матеріали передаються дирекції закладу для прийняття відповідного управлінського рішення щодо удосконалення якості освіти в гімназії.</w:t>
      </w:r>
    </w:p>
    <w:p w:rsidR="005A4E05" w:rsidRPr="005A4E05" w:rsidRDefault="005A4E05" w:rsidP="005A4E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Дані щодо процедури та результатів оцінювання мають узагальнюватися зокрема в таблицях. Компоненти напряму оцінювання. До них віднесено (відповідно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наказу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МОН України від 09.01.2019 № 17 «Про затвердження Порядку проведення інституційного аудиту закладів загальної середньої освіти»):</w:t>
      </w:r>
    </w:p>
    <w:p w:rsidR="005A4E05" w:rsidRPr="005A4E05" w:rsidRDefault="005A4E05" w:rsidP="005A4E0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освітнє середовище закладу освіти (облаштування території, стан приміщення закладу, дотримання повітряно-теплового режиму, стан освітлення, прибирання приміщень, облаштування та утримання туалетів, дотримання питного режиму тощо);</w:t>
      </w:r>
    </w:p>
    <w:p w:rsidR="005A4E05" w:rsidRPr="005A4E05" w:rsidRDefault="005A4E05" w:rsidP="005A4E0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оцінювання здобувачів освіти (оприлюднення критерії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процедур оцінювання навчальних досягнень, здійснення аналізу результатів навчання учнів, впровадження системи формувального оцінювання тощо);</w:t>
      </w:r>
    </w:p>
    <w:p w:rsidR="005A4E05" w:rsidRPr="005A4E05" w:rsidRDefault="005A4E05" w:rsidP="005A4E0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педагогічна діяльність педагогічних працівників (формування та реалізація індивідуальних освітніх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траєктор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ій учнів, використання інформаційно-комунікаційних технологій в освітньому процесі, розвиток педагогіки партнерства тощо);</w:t>
      </w:r>
    </w:p>
    <w:p w:rsidR="005A4E05" w:rsidRPr="005A4E05" w:rsidRDefault="005A4E05" w:rsidP="005A4E0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управлінські процеси закладу освіти (стратегія розвитку закладу, здійснення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ічного планування відповідно до стратегії, підвищення кваліфікації педагогічних працівників тощо).</w:t>
      </w:r>
    </w:p>
    <w:p w:rsidR="005A4E05" w:rsidRPr="005A4E05" w:rsidRDefault="005A4E05" w:rsidP="005A4E0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Періодичність оцінювання. Визначається відповідно до частоти оцінювання (1 раз на п’ять років, 1 раз на 3 роки, 1 раз на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ік, півріччя (семестр), квартал (чверть), щомісячно, щотижнево тощо).</w:t>
      </w:r>
    </w:p>
    <w:p w:rsidR="005A4E05" w:rsidRPr="005A4E05" w:rsidRDefault="005A4E05" w:rsidP="005A4E0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Відповідальні за оцінювання. Ними є не тільки члени адміністрації гімназії,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а й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представники колективу, громадських організацій закладу. Перелік таких осіб може виглядати так: директор, заступники директора, голови методичних об’єднань, педагогічні працівники, психолог,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іальний педаго</w:t>
      </w:r>
      <w:r w:rsidR="000130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г, бібліотекар, </w:t>
      </w:r>
      <w:r w:rsidR="000130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члени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батьківського комітету, учнівського комітету тощо.</w:t>
      </w:r>
    </w:p>
    <w:p w:rsidR="005A4E05" w:rsidRPr="005A4E05" w:rsidRDefault="005A4E05" w:rsidP="005A4E0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 збору інформації та інструментарій. У цій графі визначається метод збору інформації (аналіз документів, опитування, спостереження) та інструментарій (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пам’ятка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, бланк, анкета тощо).</w:t>
      </w:r>
    </w:p>
    <w:p w:rsidR="005A4E05" w:rsidRPr="005A4E05" w:rsidRDefault="005A4E05" w:rsidP="005A4E0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 узагальнення інформації. До інформації, яку має надати відповідальна особа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ісля завершення процедури оцінювання, віднесено аналітичну довідку, письмовий звіт, усний звіт, доповідну записку, акт тощо.</w:t>
      </w:r>
    </w:p>
    <w:p w:rsidR="005A4E05" w:rsidRPr="005A4E05" w:rsidRDefault="005A4E05" w:rsidP="005A4E0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івень оцінювання.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івень оцінювання як обов’язковий елемент механізму передбачає визначення рівня оцінювання: перший (високий); другий (достатній); третій (вимагає покращення); четвертий (низький).</w:t>
      </w:r>
    </w:p>
    <w:p w:rsidR="005A4E05" w:rsidRPr="005A4E05" w:rsidRDefault="005A4E05" w:rsidP="005A4E0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Управлінське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ішення. Управлінське </w:t>
      </w:r>
      <w:proofErr w:type="gramStart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ішення приймається на основі аналізу отриманої інформації у вигляді наказу, рішення педагогічної ради, ради закладу, розпорядження, вказівки, письмового доручення, припису, інструкції, резолюції тощо і спрямовано на вдоско</w:t>
      </w:r>
      <w:r w:rsidR="0001300B">
        <w:rPr>
          <w:rFonts w:ascii="Times New Roman" w:eastAsia="Times New Roman" w:hAnsi="Times New Roman" w:cs="Times New Roman"/>
          <w:color w:val="333333"/>
          <w:sz w:val="28"/>
          <w:szCs w:val="28"/>
        </w:rPr>
        <w:t>налення якості освіти в</w:t>
      </w:r>
      <w:r w:rsidR="000130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закладі освіти</w:t>
      </w:r>
      <w:r w:rsidRPr="005A4E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66FEA" w:rsidRDefault="00D66FEA" w:rsidP="005A4E05">
      <w:pPr>
        <w:jc w:val="center"/>
      </w:pPr>
    </w:p>
    <w:sectPr w:rsidR="00D6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61FD"/>
    <w:multiLevelType w:val="multilevel"/>
    <w:tmpl w:val="F49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F7AA0"/>
    <w:multiLevelType w:val="multilevel"/>
    <w:tmpl w:val="320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22424"/>
    <w:multiLevelType w:val="multilevel"/>
    <w:tmpl w:val="740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33AC8"/>
    <w:multiLevelType w:val="multilevel"/>
    <w:tmpl w:val="749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682E"/>
    <w:multiLevelType w:val="multilevel"/>
    <w:tmpl w:val="DF16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87A58"/>
    <w:multiLevelType w:val="multilevel"/>
    <w:tmpl w:val="904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C6DBD"/>
    <w:multiLevelType w:val="multilevel"/>
    <w:tmpl w:val="785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379A9"/>
    <w:multiLevelType w:val="multilevel"/>
    <w:tmpl w:val="1B5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E35DC"/>
    <w:multiLevelType w:val="multilevel"/>
    <w:tmpl w:val="C8923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FA"/>
    <w:multiLevelType w:val="multilevel"/>
    <w:tmpl w:val="AA1C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03AC6"/>
    <w:multiLevelType w:val="multilevel"/>
    <w:tmpl w:val="FD2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36239"/>
    <w:multiLevelType w:val="multilevel"/>
    <w:tmpl w:val="ED2E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3B4556"/>
    <w:multiLevelType w:val="multilevel"/>
    <w:tmpl w:val="7A7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21244"/>
    <w:multiLevelType w:val="multilevel"/>
    <w:tmpl w:val="C9F6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6730D"/>
    <w:multiLevelType w:val="multilevel"/>
    <w:tmpl w:val="7900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5142D"/>
    <w:multiLevelType w:val="multilevel"/>
    <w:tmpl w:val="76A8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74F49"/>
    <w:multiLevelType w:val="multilevel"/>
    <w:tmpl w:val="CB3C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961EE"/>
    <w:multiLevelType w:val="multilevel"/>
    <w:tmpl w:val="4AB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A6BFB"/>
    <w:multiLevelType w:val="multilevel"/>
    <w:tmpl w:val="829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94CAB"/>
    <w:multiLevelType w:val="multilevel"/>
    <w:tmpl w:val="24CE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D6C3F"/>
    <w:multiLevelType w:val="multilevel"/>
    <w:tmpl w:val="FB7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055CE"/>
    <w:multiLevelType w:val="multilevel"/>
    <w:tmpl w:val="FA9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8"/>
  </w:num>
  <w:num w:numId="7">
    <w:abstractNumId w:val="4"/>
  </w:num>
  <w:num w:numId="8">
    <w:abstractNumId w:val="12"/>
  </w:num>
  <w:num w:numId="9">
    <w:abstractNumId w:val="20"/>
  </w:num>
  <w:num w:numId="10">
    <w:abstractNumId w:val="17"/>
  </w:num>
  <w:num w:numId="11">
    <w:abstractNumId w:val="21"/>
  </w:num>
  <w:num w:numId="12">
    <w:abstractNumId w:val="11"/>
  </w:num>
  <w:num w:numId="13">
    <w:abstractNumId w:val="3"/>
  </w:num>
  <w:num w:numId="14">
    <w:abstractNumId w:val="19"/>
  </w:num>
  <w:num w:numId="15">
    <w:abstractNumId w:val="15"/>
  </w:num>
  <w:num w:numId="16">
    <w:abstractNumId w:val="5"/>
  </w:num>
  <w:num w:numId="17">
    <w:abstractNumId w:val="10"/>
  </w:num>
  <w:num w:numId="18">
    <w:abstractNumId w:val="0"/>
  </w:num>
  <w:num w:numId="19">
    <w:abstractNumId w:val="16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A4E05"/>
    <w:rsid w:val="0001300B"/>
    <w:rsid w:val="003A5BA6"/>
    <w:rsid w:val="005A4E05"/>
    <w:rsid w:val="007A3E28"/>
    <w:rsid w:val="00D6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E05"/>
    <w:rPr>
      <w:b/>
      <w:bCs/>
    </w:rPr>
  </w:style>
  <w:style w:type="character" w:styleId="a5">
    <w:name w:val="Emphasis"/>
    <w:basedOn w:val="a0"/>
    <w:uiPriority w:val="20"/>
    <w:qFormat/>
    <w:rsid w:val="005A4E05"/>
    <w:rPr>
      <w:i/>
      <w:iCs/>
    </w:rPr>
  </w:style>
  <w:style w:type="character" w:styleId="a6">
    <w:name w:val="Hyperlink"/>
    <w:basedOn w:val="a0"/>
    <w:uiPriority w:val="99"/>
    <w:semiHidden/>
    <w:unhideWhenUsed/>
    <w:rsid w:val="005A4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24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n-school@i.ua</dc:creator>
  <cp:keywords/>
  <dc:description/>
  <cp:lastModifiedBy>n-school@i.ua</cp:lastModifiedBy>
  <cp:revision>3</cp:revision>
  <dcterms:created xsi:type="dcterms:W3CDTF">2020-12-14T11:00:00Z</dcterms:created>
  <dcterms:modified xsi:type="dcterms:W3CDTF">2020-12-14T11:46:00Z</dcterms:modified>
</cp:coreProperties>
</file>