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1E" w:rsidRDefault="008F061E" w:rsidP="008F061E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СХВАЛЕНО                                                          ЗАТВЕРДЖУЮ</w:t>
      </w:r>
    </w:p>
    <w:p w:rsidR="008F061E" w:rsidRDefault="008F061E" w:rsidP="008F061E">
      <w:pPr>
        <w:shd w:val="clear" w:color="auto" w:fill="FFFFFF"/>
        <w:tabs>
          <w:tab w:val="left" w:pos="6390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засідані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педагогічної                                       Директор школи            </w:t>
      </w:r>
    </w:p>
    <w:p w:rsidR="008F061E" w:rsidRDefault="008F061E" w:rsidP="008F061E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ради школи                                                                                </w:t>
      </w:r>
      <w:r w:rsidRPr="000B0A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</w:p>
    <w:p w:rsidR="008F061E" w:rsidRDefault="008F061E" w:rsidP="008F061E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Протокол  № 1</w:t>
      </w:r>
      <w:r w:rsidR="00F763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0 від 23.10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.2020 р.                                                  </w:t>
      </w:r>
    </w:p>
    <w:p w:rsidR="008F061E" w:rsidRDefault="008F061E" w:rsidP="008F061E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Голова педагогічної ради, директор                                      </w:t>
      </w:r>
      <w:r w:rsidRPr="00C76DE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Тетяна ГЕТЬМАН</w:t>
      </w:r>
    </w:p>
    <w:p w:rsidR="008F061E" w:rsidRDefault="008F061E" w:rsidP="008F061E">
      <w:pPr>
        <w:shd w:val="clear" w:color="auto" w:fill="FFFFFF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школи___________</w:t>
      </w:r>
      <w:r w:rsidR="00F763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Тетяна ГЕТЬМАН               23.10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.2020р.</w:t>
      </w:r>
    </w:p>
    <w:p w:rsidR="008F061E" w:rsidRDefault="008F061E" w:rsidP="008F061E">
      <w:pPr>
        <w:shd w:val="clear" w:color="auto" w:fill="FFFFFF"/>
        <w:spacing w:after="22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0"/>
          <w:lang w:val="uk-UA"/>
        </w:rPr>
      </w:pPr>
    </w:p>
    <w:p w:rsidR="008F061E" w:rsidRDefault="008F061E" w:rsidP="008F061E">
      <w:pPr>
        <w:shd w:val="clear" w:color="auto" w:fill="FFFFFF"/>
        <w:spacing w:after="22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0"/>
          <w:lang w:val="uk-UA"/>
        </w:rPr>
      </w:pPr>
    </w:p>
    <w:p w:rsidR="008F061E" w:rsidRDefault="008F061E" w:rsidP="008F061E">
      <w:pPr>
        <w:shd w:val="clear" w:color="auto" w:fill="FFFFFF"/>
        <w:spacing w:after="22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0"/>
          <w:lang w:val="uk-UA"/>
        </w:rPr>
      </w:pPr>
    </w:p>
    <w:p w:rsidR="008F061E" w:rsidRDefault="008F061E" w:rsidP="008F061E">
      <w:pPr>
        <w:shd w:val="clear" w:color="auto" w:fill="FFFFFF"/>
        <w:spacing w:after="22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0"/>
          <w:lang w:val="uk-UA"/>
        </w:rPr>
      </w:pPr>
    </w:p>
    <w:p w:rsidR="008F061E" w:rsidRDefault="008F061E" w:rsidP="008F061E">
      <w:pPr>
        <w:shd w:val="clear" w:color="auto" w:fill="FFFFFF"/>
        <w:spacing w:after="22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0"/>
          <w:lang w:val="uk-UA"/>
        </w:rPr>
      </w:pPr>
    </w:p>
    <w:p w:rsidR="008F061E" w:rsidRDefault="008F061E" w:rsidP="008F061E">
      <w:pPr>
        <w:shd w:val="clear" w:color="auto" w:fill="FFFFFF"/>
        <w:spacing w:after="22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0"/>
          <w:lang w:val="uk-UA"/>
        </w:rPr>
      </w:pPr>
    </w:p>
    <w:p w:rsidR="008F061E" w:rsidRPr="008F061E" w:rsidRDefault="008F061E" w:rsidP="008F061E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294A70"/>
          <w:sz w:val="56"/>
          <w:szCs w:val="56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ПОЛОЖЕННЯ</w:t>
      </w:r>
    </w:p>
    <w:p w:rsidR="008F061E" w:rsidRPr="008F061E" w:rsidRDefault="008F061E" w:rsidP="008F061E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294A70"/>
          <w:sz w:val="56"/>
          <w:szCs w:val="56"/>
          <w:lang w:val="uk-UA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про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академічну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доброчесність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учасників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освітнього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процесу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 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навчально-виховного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комплексу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/>
        </w:rPr>
        <w:t>Нехворощанської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uk-UA"/>
        </w:rPr>
        <w:t xml:space="preserve"> ЗОШ І-ІІІ ст. Бердичівського району Житомирської області</w:t>
      </w:r>
    </w:p>
    <w:p w:rsidR="008F061E" w:rsidRPr="00A04569" w:rsidRDefault="008F061E" w:rsidP="008F061E">
      <w:pPr>
        <w:shd w:val="clear" w:color="auto" w:fill="FFFFFF"/>
        <w:spacing w:after="225" w:line="240" w:lineRule="auto"/>
        <w:outlineLvl w:val="1"/>
        <w:rPr>
          <w:rFonts w:ascii="Verdana" w:eastAsia="Times New Roman" w:hAnsi="Verdana" w:cs="Times New Roman"/>
          <w:color w:val="294A70"/>
          <w:sz w:val="30"/>
          <w:szCs w:val="30"/>
          <w:lang w:val="uk-UA"/>
        </w:rPr>
      </w:pPr>
      <w:r w:rsidRPr="008F061E">
        <w:rPr>
          <w:rFonts w:ascii="Verdana" w:eastAsia="Times New Roman" w:hAnsi="Verdana" w:cs="Times New Roman"/>
          <w:b/>
          <w:bCs/>
          <w:color w:val="000000"/>
          <w:sz w:val="30"/>
        </w:rPr>
        <w:t> </w:t>
      </w:r>
    </w:p>
    <w:p w:rsidR="008F061E" w:rsidRPr="00A04569" w:rsidRDefault="008F061E" w:rsidP="008F06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666666"/>
          <w:sz w:val="21"/>
          <w:szCs w:val="21"/>
          <w:lang w:val="uk-UA"/>
        </w:rPr>
      </w:pPr>
      <w:r w:rsidRPr="008F061E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8F061E" w:rsidRDefault="008F061E" w:rsidP="008F061E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000000"/>
          <w:sz w:val="21"/>
          <w:lang w:val="uk-UA"/>
        </w:rPr>
      </w:pPr>
    </w:p>
    <w:p w:rsidR="008F061E" w:rsidRDefault="008F061E" w:rsidP="008F061E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000000"/>
          <w:sz w:val="21"/>
          <w:lang w:val="uk-UA"/>
        </w:rPr>
      </w:pPr>
    </w:p>
    <w:p w:rsidR="008F061E" w:rsidRDefault="008F061E" w:rsidP="008F061E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bCs/>
          <w:color w:val="000000"/>
          <w:sz w:val="21"/>
          <w:lang w:val="uk-UA"/>
        </w:rPr>
      </w:pP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666666"/>
          <w:sz w:val="21"/>
          <w:szCs w:val="21"/>
          <w:lang w:val="uk-UA"/>
        </w:rPr>
      </w:pPr>
    </w:p>
    <w:p w:rsidR="008F061E" w:rsidRPr="00A04569" w:rsidRDefault="008F061E" w:rsidP="008F06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666666"/>
          <w:sz w:val="21"/>
          <w:szCs w:val="21"/>
          <w:lang w:val="uk-UA"/>
        </w:rPr>
      </w:pPr>
      <w:r w:rsidRPr="008F061E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8F061E" w:rsidRPr="00A04569" w:rsidRDefault="008F061E" w:rsidP="008F061E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666666"/>
          <w:sz w:val="21"/>
          <w:szCs w:val="21"/>
          <w:lang w:val="uk-UA"/>
        </w:rPr>
      </w:pPr>
      <w:r w:rsidRPr="008F061E">
        <w:rPr>
          <w:rFonts w:ascii="Tahoma" w:eastAsia="Times New Roman" w:hAnsi="Tahoma" w:cs="Tahoma"/>
          <w:color w:val="666666"/>
          <w:sz w:val="21"/>
          <w:szCs w:val="21"/>
        </w:rPr>
        <w:t> </w:t>
      </w:r>
    </w:p>
    <w:p w:rsidR="008F061E" w:rsidRPr="00A04569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A0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І. Загальні положення</w:t>
      </w:r>
    </w:p>
    <w:p w:rsidR="008F061E" w:rsidRPr="00A04569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  <w:r w:rsidRP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 Положення про академічну доброчесність учасників освітнього процесу навча</w:t>
      </w:r>
      <w:r w:rsidR="00A04569" w:rsidRP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льно-виховного комплексу </w:t>
      </w:r>
      <w:proofErr w:type="spellStart"/>
      <w:r w:rsid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Нехворощанської</w:t>
      </w:r>
      <w:proofErr w:type="spellEnd"/>
      <w:r w:rsid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ЗОШ І-ІІІ ступенів</w:t>
      </w: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proofErr w:type="spellStart"/>
      <w:r w:rsid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Андрушівського</w:t>
      </w:r>
      <w:proofErr w:type="spellEnd"/>
      <w:r w:rsid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району </w:t>
      </w:r>
      <w:r w:rsidRP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Житомирської області </w:t>
      </w: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внутрішнім підзаконним нормативним </w:t>
      </w: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актом, який спрямований на</w:t>
      </w: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45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забезпечення якісних освітніх послуг наданих здобувачам освіти, додержання моральних, правових, етичних норм поведінки всіма учасниками освітнього процесу.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ООН «Про права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(1989),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їни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запобігання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корупції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авторські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суміжні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права», статуту закладу, правил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розпорядку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ІІ.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Принципи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норми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етики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академічної</w:t>
      </w:r>
      <w:proofErr w:type="spellEnd"/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доброчесності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закладу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доброчесність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етичних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правил,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керуватися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НВК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провадження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довіри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ст.42 п. 4 Закону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академічний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плагіат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самоплагіат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фабрикація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фальсифікація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списування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обман,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хабарництво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необ’єктивне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доброчесність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забезпечуються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2.3.1. </w:t>
      </w:r>
      <w:proofErr w:type="spellStart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учасниками</w:t>
      </w:r>
      <w:proofErr w:type="spellEnd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освітнього</w:t>
      </w:r>
      <w:proofErr w:type="spellEnd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процесу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 шляхом</w:t>
      </w:r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F061E" w:rsidRPr="008F061E" w:rsidRDefault="008F061E" w:rsidP="008F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ООН «Про права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позитивного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іміджу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примноження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етичних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засадах партнерства,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взаємоповаги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стосункі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запобігання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корупції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хабарництву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поліпшення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раціонального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навчально-матеріальної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бази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закладу;</w:t>
      </w:r>
    </w:p>
    <w:p w:rsidR="008F061E" w:rsidRPr="008F061E" w:rsidRDefault="008F061E" w:rsidP="008F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тверджень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про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авторські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права;</w:t>
      </w:r>
    </w:p>
    <w:p w:rsidR="008F061E" w:rsidRPr="008F061E" w:rsidRDefault="008F061E" w:rsidP="008F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правдивої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невідворотності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 порядку,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спеціальними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законами.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2.3.2.здобувачами </w:t>
      </w:r>
      <w:proofErr w:type="spellStart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освіти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шляхом:</w:t>
      </w:r>
    </w:p>
    <w:p w:rsidR="008F061E" w:rsidRPr="008F061E" w:rsidRDefault="008F061E" w:rsidP="008F06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поточного та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ідсумкового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без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зовнішніх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дозволених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, ДПА);</w:t>
      </w:r>
    </w:p>
    <w:p w:rsidR="008F061E" w:rsidRPr="008F061E" w:rsidRDefault="008F061E" w:rsidP="008F06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особистою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присутністю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окрім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викликаних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поважними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причинами.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2.3.3</w:t>
      </w: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педагогічними</w:t>
      </w:r>
      <w:proofErr w:type="spellEnd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працівниками</w:t>
      </w:r>
      <w:proofErr w:type="spellEnd"/>
      <w:r w:rsidRPr="008F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шляхом:</w:t>
      </w:r>
    </w:p>
    <w:p w:rsidR="008F061E" w:rsidRPr="008F061E" w:rsidRDefault="008F061E" w:rsidP="008F0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практичній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професійній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інноваційних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здобутків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обов’язкової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та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колегіальної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управлінські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незалежності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політичних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партій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ігійних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саморозвитку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самовдосконалення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вчасно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розпорядку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об’єктивного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неупередженого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за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інформування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ІІІ. Заходи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попередження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виявлення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встановлення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факті</w:t>
      </w:r>
      <w:proofErr w:type="gram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порушення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етики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доброчесності</w:t>
      </w:r>
      <w:proofErr w:type="spellEnd"/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При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роботу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знайомиться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розписку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ознайомлення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розпорядку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доводиться до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батьківської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оприлюднюється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Заступник директора, яка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роботу: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3.3.1.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Забезпечує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ними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розробок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для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публікацій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своїй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рецензування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на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присвоєння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) та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рекомендує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сервіси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безкоштовної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антиплагіат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дотримуються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умов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роз’яснювальну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етичної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та 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неприпустимості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плагіат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цитування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списування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Для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списуванння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створюється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НВК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списування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вчителя-предметника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3.6.  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списування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надає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повторне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)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Види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відповідальності</w:t>
      </w:r>
      <w:proofErr w:type="spellEnd"/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порушення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доброчесності</w:t>
      </w:r>
      <w:proofErr w:type="spellEnd"/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Види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конкретне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доброчинності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внутрішнє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НВК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tbl>
      <w:tblPr>
        <w:tblW w:w="12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0"/>
        <w:gridCol w:w="1643"/>
        <w:gridCol w:w="3490"/>
        <w:gridCol w:w="3116"/>
        <w:gridCol w:w="2725"/>
      </w:tblGrid>
      <w:tr w:rsidR="008F061E" w:rsidRPr="008F061E" w:rsidTr="008F061E"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Порушення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академічної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доброчесності</w:t>
            </w:r>
            <w:proofErr w:type="spellEnd"/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Суб’єкти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порушення</w:t>
            </w:r>
            <w:proofErr w:type="spellEnd"/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Обставини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умови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порушення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академічної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доброчесності</w:t>
            </w:r>
            <w:proofErr w:type="spellEnd"/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Наслідки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форма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відповідальності</w:t>
            </w:r>
            <w:proofErr w:type="spellEnd"/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Орган /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посадова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особа,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який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приймає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ішення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призначення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виду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відповідальності</w:t>
            </w:r>
            <w:proofErr w:type="spellEnd"/>
          </w:p>
        </w:tc>
      </w:tr>
      <w:tr w:rsidR="008F061E" w:rsidRPr="008F061E" w:rsidTr="008F061E">
        <w:tc>
          <w:tcPr>
            <w:tcW w:w="17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Списування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Здобувачі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самостійні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зрізи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знань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ічне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оцінювання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(для 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екстернів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моніторинги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якості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знань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Повторне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письмове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оцінювання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Термін-1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тиждень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або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відповідного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освітнього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компонента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освітньої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</w:t>
            </w:r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і-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8F061E" w:rsidRPr="008F061E" w:rsidTr="008F061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екзамен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(ДПА);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ічне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оцінювання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для 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екстернів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оцінювання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за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графіком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ДПА </w:t>
            </w:r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закладі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зарахування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результаті</w:t>
            </w:r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Атестаційна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</w:t>
            </w:r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ія</w:t>
            </w:r>
            <w:proofErr w:type="spellEnd"/>
          </w:p>
        </w:tc>
      </w:tr>
      <w:tr w:rsidR="008F061E" w:rsidRPr="008F061E" w:rsidTr="008F061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-І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етап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шкільний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Всеукраїнських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учнівських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олімпіад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конкурсів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Робота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учасника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анулюється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оцінюється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повторних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випадків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списування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учасник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допускається</w:t>
            </w:r>
            <w:proofErr w:type="spellEnd"/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олімпіадах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конкурсах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Оргкомітет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журі</w:t>
            </w:r>
            <w:proofErr w:type="spellEnd"/>
          </w:p>
        </w:tc>
      </w:tr>
      <w:tr w:rsidR="008F061E" w:rsidRPr="008F061E" w:rsidTr="008F061E"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Необ’єктивне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оцінювання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результатів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здобувачі</w:t>
            </w:r>
            <w:proofErr w:type="gram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Педагогічні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працівники</w:t>
            </w:r>
            <w:proofErr w:type="spellEnd"/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ідоме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завищення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заниження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оцінки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результатів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навчання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-ДПА;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тематичне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оцінювання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моніторинги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олімпіадні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Педагогічному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працівнику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рекомендується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опрацювати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критерії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оцінювання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знань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систематичних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порушень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враховуються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при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кваліфікаційної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категорії</w:t>
            </w:r>
            <w:proofErr w:type="spellEnd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присвоєнні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педагогічних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звань</w:t>
            </w:r>
            <w:proofErr w:type="spellEnd"/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закладу,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атестаційні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комісії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усіх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івнів</w:t>
            </w:r>
            <w:proofErr w:type="spellEnd"/>
          </w:p>
        </w:tc>
      </w:tr>
      <w:tr w:rsidR="008F061E" w:rsidRPr="008F061E" w:rsidTr="008F061E"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Обман: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Фальсифікація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Педагогічні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працівники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як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автори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Навчально-методичні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педагогічними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працівниками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ібник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навчально-методичний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ібник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наочний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ібник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ібник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наочний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ібник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збірка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-методична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збірка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вісник</w:t>
            </w:r>
            <w:proofErr w:type="spellEnd"/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стаття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-методична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</w:t>
            </w:r>
            <w:proofErr w:type="spellEnd"/>
          </w:p>
        </w:tc>
        <w:tc>
          <w:tcPr>
            <w:tcW w:w="26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випадку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порушень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такого порядку: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спотворене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методичних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публікаціях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чужих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розробок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ідей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синтезу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компіляції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чужих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джерел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Інтернету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посилань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фальсифікація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наукових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іджень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неправдива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власну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освітню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діяльність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ідставою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відмови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присвоєнні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позбавлені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раніше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присвоєного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педагогічного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кваліфікаційної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категорії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в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атестаційний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період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фактів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списування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здобувачами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контрольних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зрізів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знань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фальсифікації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результатів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власної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педагогічної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позбавлення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педагогічного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працівника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І,ІІ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кваліфікаційної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Педагогічна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gram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закладу,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науково-методична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рада методичного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кабінету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 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атестаційні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</w:t>
            </w:r>
            <w:proofErr w:type="gram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ії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(закладу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міська</w:t>
            </w:r>
            <w:proofErr w:type="spellEnd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</w:tc>
      </w:tr>
      <w:tr w:rsidR="008F061E" w:rsidRPr="008F061E" w:rsidTr="008F061E"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Фабрикація</w:t>
            </w:r>
            <w:proofErr w:type="spellEnd"/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F061E" w:rsidRPr="008F061E" w:rsidTr="008F061E"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06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8F061E" w:rsidRPr="008F061E" w:rsidRDefault="008F061E" w:rsidP="008F06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8F0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Плагіат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F061E" w:rsidRPr="008F061E" w:rsidRDefault="008F061E" w:rsidP="008F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F061E" w:rsidRPr="008F061E" w:rsidRDefault="008F061E" w:rsidP="008F06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</w:t>
      </w:r>
      <w:proofErr w:type="gram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ія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питань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доброчесності</w:t>
      </w:r>
      <w:proofErr w:type="spellEnd"/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етики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педагогічних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працівникі</w:t>
      </w:r>
      <w:proofErr w:type="gram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доброчесності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етики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незалежний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для 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пов’язаних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усіма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морально-етичних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норм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батьківської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Персональний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 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затверджується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ішенням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повноважень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розглядає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морально-етичних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 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правових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за потребою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заявою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proofErr w:type="spell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Комі</w:t>
      </w:r>
      <w:r w:rsidR="00367BD3">
        <w:rPr>
          <w:rFonts w:ascii="Times New Roman" w:eastAsia="Times New Roman" w:hAnsi="Times New Roman" w:cs="Times New Roman"/>
          <w:color w:val="000000"/>
          <w:sz w:val="28"/>
          <w:szCs w:val="28"/>
        </w:rPr>
        <w:t>сія</w:t>
      </w:r>
      <w:proofErr w:type="spellEnd"/>
      <w:r w:rsidR="00367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7BD3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звітує</w:t>
      </w:r>
      <w:proofErr w:type="spellEnd"/>
      <w:r w:rsidR="00367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свою роботу </w:t>
      </w:r>
      <w:r w:rsidR="00367B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раз</w:t>
      </w:r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8F0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61E" w:rsidRPr="008F061E" w:rsidRDefault="008F061E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F061E" w:rsidRPr="008F061E" w:rsidRDefault="008F061E" w:rsidP="008F06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VI.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Прикінцеві</w:t>
      </w:r>
      <w:proofErr w:type="spellEnd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положення</w:t>
      </w:r>
      <w:proofErr w:type="spellEnd"/>
    </w:p>
    <w:p w:rsidR="00367BD3" w:rsidRPr="00367BD3" w:rsidRDefault="00367BD3" w:rsidP="008F061E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BD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67BD3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Незнання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нерозуміння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виправданням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неетичної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. Заклад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публічний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gramStart"/>
      <w:r w:rsidRPr="00367B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7BD3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сайт. </w:t>
      </w:r>
    </w:p>
    <w:p w:rsidR="00367BD3" w:rsidRPr="00367BD3" w:rsidRDefault="00367BD3" w:rsidP="008F061E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BD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 w:rsidRPr="00367BD3">
        <w:rPr>
          <w:rFonts w:ascii="Times New Roman" w:hAnsi="Times New Roman" w:cs="Times New Roman"/>
          <w:sz w:val="28"/>
          <w:szCs w:val="28"/>
          <w:lang w:val="uk-UA"/>
        </w:rPr>
        <w:t>. Положення про акад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емічну доброчесність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Нехворощанської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7BD3">
        <w:rPr>
          <w:rFonts w:ascii="Times New Roman" w:hAnsi="Times New Roman" w:cs="Times New Roman"/>
          <w:sz w:val="28"/>
          <w:szCs w:val="28"/>
          <w:lang w:val="uk-UA"/>
        </w:rPr>
        <w:t>середньої загальноосвітньої школи І-ІІІ ступенів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7BD3">
        <w:rPr>
          <w:rFonts w:ascii="Times New Roman" w:hAnsi="Times New Roman" w:cs="Times New Roman"/>
          <w:sz w:val="28"/>
          <w:szCs w:val="28"/>
          <w:lang w:val="uk-UA"/>
        </w:rPr>
        <w:t>затверджується педагогічною радою закладу та вводиться в дію наказом директора.</w:t>
      </w:r>
    </w:p>
    <w:p w:rsidR="008F061E" w:rsidRPr="00367BD3" w:rsidRDefault="00367BD3" w:rsidP="008F06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67BD3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67B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BD3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будь-яким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67B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67BD3">
        <w:rPr>
          <w:rFonts w:ascii="Times New Roman" w:hAnsi="Times New Roman" w:cs="Times New Roman"/>
          <w:sz w:val="28"/>
          <w:szCs w:val="28"/>
        </w:rPr>
        <w:t>.</w:t>
      </w:r>
      <w:r w:rsidR="008F061E" w:rsidRPr="00367BD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9B6FD4" w:rsidRPr="008F061E" w:rsidRDefault="009B6FD4" w:rsidP="008F06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6FD4" w:rsidRPr="008F061E" w:rsidSect="00C4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798"/>
    <w:multiLevelType w:val="multilevel"/>
    <w:tmpl w:val="068E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C2386"/>
    <w:multiLevelType w:val="multilevel"/>
    <w:tmpl w:val="F6CA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C0B55"/>
    <w:multiLevelType w:val="multilevel"/>
    <w:tmpl w:val="F72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B42026"/>
    <w:multiLevelType w:val="multilevel"/>
    <w:tmpl w:val="21A2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05DEB"/>
    <w:multiLevelType w:val="multilevel"/>
    <w:tmpl w:val="844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A85F04"/>
    <w:multiLevelType w:val="multilevel"/>
    <w:tmpl w:val="D194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61E"/>
    <w:rsid w:val="00367BD3"/>
    <w:rsid w:val="004204F6"/>
    <w:rsid w:val="008F061E"/>
    <w:rsid w:val="009B6FD4"/>
    <w:rsid w:val="009F7778"/>
    <w:rsid w:val="00A04569"/>
    <w:rsid w:val="00C43A82"/>
    <w:rsid w:val="00F7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82"/>
  </w:style>
  <w:style w:type="paragraph" w:styleId="2">
    <w:name w:val="heading 2"/>
    <w:basedOn w:val="a"/>
    <w:link w:val="20"/>
    <w:uiPriority w:val="9"/>
    <w:qFormat/>
    <w:rsid w:val="008F0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6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F061E"/>
    <w:rPr>
      <w:b/>
      <w:bCs/>
    </w:rPr>
  </w:style>
  <w:style w:type="paragraph" w:styleId="a4">
    <w:name w:val="Normal (Web)"/>
    <w:basedOn w:val="a"/>
    <w:uiPriority w:val="99"/>
    <w:unhideWhenUsed/>
    <w:rsid w:val="008F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F06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n-school@i.ua</dc:creator>
  <cp:keywords/>
  <dc:description/>
  <cp:lastModifiedBy>n-school@i.ua</cp:lastModifiedBy>
  <cp:revision>7</cp:revision>
  <cp:lastPrinted>2021-01-05T07:36:00Z</cp:lastPrinted>
  <dcterms:created xsi:type="dcterms:W3CDTF">2020-12-16T09:36:00Z</dcterms:created>
  <dcterms:modified xsi:type="dcterms:W3CDTF">2021-01-05T07:37:00Z</dcterms:modified>
</cp:coreProperties>
</file>