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61" w:rsidRDefault="007A09DF">
      <w:hyperlink r:id="rId4" w:history="1">
        <w:r w:rsidRPr="009A06EE">
          <w:rPr>
            <w:rStyle w:val="a3"/>
          </w:rPr>
          <w:t>https://mon.gov.ua/ua/npa/shodo-stvorennya-bezpechnih-umov-organizaciyi-osvitnogo-procesu-u-20202021-navchalnomu-roci</w:t>
        </w:r>
      </w:hyperlink>
    </w:p>
    <w:p w:rsidR="007A09DF" w:rsidRDefault="007A09DF">
      <w:bookmarkStart w:id="0" w:name="_GoBack"/>
      <w:bookmarkEnd w:id="0"/>
    </w:p>
    <w:sectPr w:rsidR="007A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5"/>
    <w:rsid w:val="005A5645"/>
    <w:rsid w:val="007A09DF"/>
    <w:rsid w:val="009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325"/>
  <w15:chartTrackingRefBased/>
  <w15:docId w15:val="{8C189315-13B7-4FBC-87A4-58CBC85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npa/shodo-stvorennya-bezpechnih-umov-organizaciyi-osvitnogo-procesu-u-20202021-navchalnomu-r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2021-02-02T17:09:00Z</dcterms:created>
  <dcterms:modified xsi:type="dcterms:W3CDTF">2021-02-02T17:09:00Z</dcterms:modified>
</cp:coreProperties>
</file>