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32,ст.175-179,впр.254,255,ст.180.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