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.2020 № </w:t>
      </w:r>
      <w:r>
        <w:rPr>
          <w:b/>
          <w:bCs/>
          <w:sz w:val="28"/>
          <w:szCs w:val="28"/>
          <w:lang w:val="uk-UA"/>
        </w:rPr>
        <w:t>167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bCs/>
          <w:sz w:val="28"/>
          <w:szCs w:val="28"/>
        </w:rPr>
        <w:t>14.07.2020 за № 128/137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 проведення обласного конкурсу-виставки «Український сувенір»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tabs>
          <w:tab w:val="clear" w:pos="709"/>
          <w:tab w:val="left" w:pos="993" w:leader="none"/>
        </w:tabs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Протягом 2020-2025 років проводити обласний конкурс-виставку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«Український сувенір» (далі – Конкурс)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Положення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обласний конкурс-виставку «Український сувенір»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Обласний конкурс-виставка «Український сувенір» (далі – Конкурс) проводиться в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ідповідно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підпункту 20</w:t>
      </w:r>
      <w:r>
        <w:rPr>
          <w:rFonts w:eastAsia="Times New Roman" w:cs="Times New Roman" w:ascii="Bookman Old Style" w:hAnsi="Bookman Old Styl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 червня 2018 року № 257-р (зі змінами),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виховання національного світогляду учнівської молоді через пізнання народного мистецтва, стимулювання розвитку творчого пошуку, художнього смаку при виконанні креативних робіт з використанням традиційних матеріалів і технік.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bidi w:val="0"/>
        <w:spacing w:lineRule="auto" w:line="240" w:before="0" w:after="0"/>
        <w:ind w:firstLine="709"/>
        <w:contextualSpacing/>
        <w:jc w:val="left"/>
        <w:rPr>
          <w:rFonts w:ascii="Times New Roman" w:hAnsi="Times New Roman" w:eastAsia="Times New Roman" w:cs="Calibri"/>
          <w:bCs/>
          <w:lang w:eastAsia="ar-SA"/>
        </w:rPr>
      </w:pPr>
      <w:r>
        <w:rPr>
          <w:rFonts w:eastAsia="Times New Roman" w:cs="Calibri" w:ascii="Times New Roman" w:hAnsi="Times New Roman"/>
          <w:bCs/>
          <w:lang w:eastAsia="ar-SA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Основними завданнями Конкурсу є: 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залучення молодого покоління до джерел і процесу творення українського народного мистецтва;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сприяння налагодженню духовного контакту дитини та батьків через залучення їх до спільної творчості на традиційному ґрунті;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стимулювання розвитку творчого пошуку, художнього смаку при виконанні креативних робіт з використанням традиційних матеріалів і технік;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популяризації і збереження різдвяних традицій в Україні, як безцінної духовної та історичної спадщини;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співпраця і обмін досвідом між осередками дитячої творчості, культурно-освітніми установами.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До участі 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Конкурсі запрошуються здобувачі освіти та вихованці закладів загальної середньої та позашкільної освіти Миколаївської області (усіх типів) 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5. Учасники до початку проведення Конкурсу ознайомлюються з Положенням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про обласний конкурс-виставку «Український сувенір» (далі – Положення)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, порядком проведення, видами і формами морального і матеріального заохочення.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6. Учасники Конкурсу повинні дотримуватись вимог його проведення, норм і правил техніки безпеки, виконувати рішення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lang w:eastAsia="ar-SA"/>
        </w:rPr>
      </w:pPr>
      <w:r>
        <w:rPr>
          <w:rFonts w:eastAsia="Times New Roman" w:cs="Calibri" w:ascii="Bookman Old Style" w:hAnsi="Bookman Old Style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протягом 2020 – 2025 років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у три етапи: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І етап 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районний (міський). Направлення робіт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 до 01 листопада поточного року.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обласний</w:t>
      </w:r>
      <w:r>
        <w:rPr>
          <w:rFonts w:eastAsia="Times New Roman" w:cs="Calibri" w:ascii="Times New Roman" w:hAnsi="Times New Roman"/>
          <w:color w:val="00B0F0"/>
          <w:sz w:val="28"/>
          <w:szCs w:val="28"/>
          <w:lang w:eastAsia="ar-SA"/>
        </w:rPr>
        <w:t xml:space="preserve">.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Оформлення та направлення робіт відповідно до номінацій цього Положення до Обласного еколого-натуралістичного центру учнівської молоді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01 грудня поточного року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Подається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не більше 3-х робіт – переможців І етапу. Т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елефон для довідок: (0512) 37-61-63.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ІІІ етап – оцінювання робіт та підбиття підсумків обласного етапу Конкурсу до 15 січня поточного року.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2. Конкурс проводиться за номінаціями: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1) номінація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Дідух»: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пошуково – дослідницька робота з історії виготовлення Різдвяних Дідухів, опис традицій, обрядів, звичаїв своєї місцевості, які пов’язані з Дідухом, виготовлення конкурсних експонатів – Дідухів;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2) номінація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«Українська народна іграшка»: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зразки традиційних іграшок (ляльки, фігурки людей, тварин, птахів (так звані образотворчі іграшки), дзиґи, кулі, коні-качалки, калатала, тарахкала, деркачі, брязкальця, фуркала, вітрячки (так звані технічні, техніко-механічні іграшки) меблі, посуд; копії стародавніх іграшок, збережених в родинах протягом декількох поколінь;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3) номінація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«Український сувенір»: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предмети вжитку та побуту, що можуть бути зразками традиційної української сувенірної продукції, виготовлених у традиційних українських техніках (вишивка – рушники, фіранки, сорочки тощо, плетіння із соломи, розпис – писанки, посуд, іграшки тощо, ткацтво, різьблення по дереву, гончарство та інше);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номінація «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Сучасний український сувенір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»: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сучасні дизайнерські вироби, що відповідають поняттю «сувенір» і виготовлені з використанням народних традицій та символіки декоративно-ужиткового мистецтва, елементів різьблення, вишивки, декоративного розпису, плетення, ткацтва тощо; сучасні саморобні іграшки, сувеніри, предмети вжитку, виготовлені спільно з батьками та родичами за давніми родинними традиціями (з приміткою «Скарбничка родинної творчості»).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надаються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Роботи Конкурсу надсилаються у готовому вигляді та у зазначений термін. Дрібні вироби мають бути закріплені на стенді.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Учасник може представити в одній роботі один або декілька виробів, композицію, набір тощо.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Кожна з робіт, представлених на Конкурс, повинна мати паспорт конкурсної роботи (далі – паспорт роботи) за зразком, наведеним у додатку.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 випадку співтворчості (членами родини, керівником гуртка тощо) про це повинно бути зазначено у паспорті роботи.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За бажанням учасника до робіт додаються текстові матеріали з описом характерних особливостей роботи.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6.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Пошуково-дослідницькі роботи у номінації «Дідух» подаються у друкованому вигляді та обов’язково на електронних носіях –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CD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диску, текст на сторінках формату А-4, набраний в текстовому редакторі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Word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шрифтом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Times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New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Roman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розміром 14 </w:t>
      </w:r>
      <w:r>
        <w:rPr>
          <w:rFonts w:eastAsia="Times New Roman" w:cs="Times New Roman" w:ascii="Times New Roman" w:hAnsi="Times New Roman"/>
          <w:sz w:val="28"/>
          <w:szCs w:val="20"/>
          <w:lang w:val="en-US" w:eastAsia="ar-SA"/>
        </w:rPr>
        <w:t>pt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з полуторним міжрядковим інтервалом. Поля: ліве – 30 мм, праве – 10 мм, верхнє – 20 мм, нижнє – 20 мм.</w:t>
      </w:r>
      <w:r>
        <w:rPr>
          <w:rFonts w:eastAsia="Times New Roman" w:cs="Calibri" w:ascii="Bookman Old Style" w:hAnsi="Bookman Old Style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Текстова частина супроводжується відповідними фотографіями, відеофільмами, презентаціями в форматі Pover Point. Формат запису відеофільмів на електронних носіях - CD-R, CD-RW, DVD-RW.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Роботи, виконані чи надані без дотримання умов цього Положення, журі Конкурсу не розглядаються.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ІV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Журі створюється з метою забезпечення об’єктивності оцінювання робіт та визначення переможців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lef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2. 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Оцінка робіт учасників проводиться журі. Журі формується з представників організаторів Конкурсу. 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Склад журі І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районного (міського)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етапу Конкурсу затверджується наказом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Склад журі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ІІІ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етапу Конкурсу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3. Журі очолює голова, який організовує роботу членів журі, проводить засідання журі та підписує протоколи засідання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у таких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6-11 років;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 вікова категорія – 12-16 років;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 вікова категорія – 17-19 років.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5.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1) номінація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Дідух»: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оригінальність задуму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до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естетика та художня виразність виробу – до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традиційність, символіка, регіональні особливості дідухів – до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індивідуальність творчої роботи – до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10 балів.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2) номінація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«Українська народна іграшка»: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естетика та художня виразність виробу — до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10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емоційність образу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збереження ігрової функції (щодо іграшок)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10 балів.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3) номінація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«Український сувенір»: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виразність виробу як зразка української сувенірної продукції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  <w:br/>
        <w:t>10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відповідність традиціям щодо форм, пластики, колориту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органічне поєднання національних художніх традицій та сучасних тенденцій формотворення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відповідність прикладного (ужиткового) призначення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4)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 номінація «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Сучасний український сувенір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»: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виразність виробу як зразка української сувенірної продукції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  <w:br/>
        <w:t>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органічне поєднання національних художніх традицій та сучасних тенденцій формотворення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індивідуальність творчого почерку, задуму автора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– до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емоційність образу – до 20 балів.</w:t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ru-RU" w:eastAsia="ar-SA"/>
        </w:rPr>
        <w:t>5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 Підсумки Конкурсу підбиваються за загальною сумою балів у кожній з номінацій. Максимальна сумарна кількість балів у кожній номінації – 80.</w:t>
      </w:r>
    </w:p>
    <w:p>
      <w:pPr>
        <w:pStyle w:val="Normal"/>
        <w:suppressAutoHyphens w:val="true"/>
        <w:bidi w:val="0"/>
        <w:spacing w:lineRule="auto" w:line="240" w:before="0" w:after="0"/>
        <w:ind w:left="90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V.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left="720" w:hanging="0"/>
        <w:jc w:val="center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районного (міського)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етапу Конкурсу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, які посіли І, ІІ, ІІІ місця нагороджуються грамотами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управлінь, відділів освіти міських рад, районних державних адміністрацій, об’єднаних територіальних громад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2. Переможці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ІІІ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етапу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Конкурсу, які посіли І, ІІ, ІІІ місця нагороджуються грамотами департаменту освіти і науки Миколаївської обласної державної адміністрації.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4"/>
          <w:szCs w:val="24"/>
          <w:lang w:eastAsia="ar-SA"/>
        </w:rPr>
      </w:pPr>
      <w:r>
        <w:rPr>
          <w:rFonts w:eastAsia="Times New Roman" w:cs="Calibri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На підставі рішення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ar-SA"/>
        </w:rPr>
        <w:t>журі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 видається наказ департаменту освіти і науки Миколаївської обласної державної адміністрації про підсумки проведення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Витрати на організацію та проведення Конкурсу здійснюються за рахунок коштів не заборонених чинним законодавством України.</w:t>
      </w:r>
    </w:p>
    <w:p>
      <w:pPr>
        <w:pStyle w:val="ListParagraph"/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bidi w:val="0"/>
        <w:spacing w:lineRule="auto" w:line="360" w:before="0" w:after="0"/>
        <w:ind w:left="4500" w:hanging="9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Додаток</w:t>
      </w:r>
    </w:p>
    <w:p>
      <w:pPr>
        <w:pStyle w:val="Normal"/>
        <w:bidi w:val="0"/>
        <w:spacing w:lineRule="auto" w:line="360" w:before="0" w:after="0"/>
        <w:ind w:left="4500" w:hanging="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Положення про о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бласн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ий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bidi w:val="0"/>
        <w:spacing w:lineRule="auto" w:line="360" w:before="0" w:after="0"/>
        <w:ind w:left="4500" w:hanging="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конкурс-виставку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«Український сувенір»</w:t>
      </w:r>
    </w:p>
    <w:p>
      <w:pPr>
        <w:pStyle w:val="Normal"/>
        <w:bidi w:val="0"/>
        <w:spacing w:lineRule="auto" w:line="360" w:before="0" w:after="0"/>
        <w:ind w:left="4500" w:hanging="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(пункт 3 розділу ІІІ)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bidi w:val="0"/>
        <w:spacing w:lineRule="auto" w:line="360" w:before="0" w:after="0"/>
        <w:ind w:left="38" w:hanging="0"/>
        <w:jc w:val="center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bidi w:val="0"/>
        <w:spacing w:lineRule="auto" w:line="360" w:before="0" w:after="0"/>
        <w:ind w:left="38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Паспорт</w:t>
      </w:r>
    </w:p>
    <w:p>
      <w:pPr>
        <w:pStyle w:val="Normal"/>
        <w:shd w:val="clear" w:color="auto" w:fill="FFFFFF"/>
        <w:bidi w:val="0"/>
        <w:spacing w:lineRule="auto" w:line="360" w:before="0" w:after="0"/>
        <w:ind w:right="76" w:hanging="0"/>
        <w:jc w:val="center"/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ru-RU"/>
        </w:rPr>
        <w:t>конкурсної роботи</w:t>
      </w:r>
    </w:p>
    <w:p>
      <w:pPr>
        <w:pStyle w:val="Normal"/>
        <w:shd w:val="clear" w:color="auto" w:fill="FFFFFF"/>
        <w:bidi w:val="0"/>
        <w:spacing w:lineRule="auto" w:line="360" w:before="0" w:after="0"/>
        <w:ind w:left="706" w:right="76" w:firstLine="14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pacing w:val="8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pacing w:val="8"/>
          <w:sz w:val="16"/>
          <w:szCs w:val="16"/>
          <w:lang w:eastAsia="ru-RU"/>
        </w:rPr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Назва роботи__________________________________________________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Опис роботи (розмір, матеріал, кольорова гама, комплектність, функціональні ігрові можливості тощо) 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Коротка довідка про історію іграшки, ідею виробу, образи, що втілені в роботі 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Дані про автора (прізвище, ім’я, по батькові, вікова група, дата народження, місцезнаходження та номер телефону закладу освіти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)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709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Назва гуртка ____________________________________________________________________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Керівник гуртка (прізвище, ім’я, по батькові повністю)__________________________________________________________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ListParagraph"/>
        <w:suppressAutoHyphens w:val="true"/>
        <w:bidi w:val="0"/>
        <w:spacing w:lineRule="auto" w:line="240" w:before="0" w:after="0"/>
        <w:ind w:left="1069" w:hanging="0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LibreOffice/7.3.5.2$Windows_X86_64 LibreOffice_project/184fe81b8c8c30d8b5082578aee2fed2ea847c01</Application>
  <AppVersion>15.0000</AppVersion>
  <Pages>6</Pages>
  <Words>1229</Words>
  <Characters>9386</Characters>
  <CharactersWithSpaces>10563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2022-09-28T18:15:49Z</dcterms:created>
  <dc:creator/>
  <dc:description/>
  <dc:language>ru-RU</dc:language>
  <cp:lastModifiedBy/>
  <dcterms:modified xsi:type="dcterms:W3CDTF">2022-09-28T18:19:36Z</dcterms:modified>
  <cp:revision>1</cp:revision>
  <dc:subject/>
  <dc:title/>
</cp:coreProperties>
</file>