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5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 Департаменту освіти і науки Миколаївської обласної державної адміністрації від </w:t>
      </w:r>
      <w:r>
        <w:rPr>
          <w:b/>
          <w:bCs/>
          <w:sz w:val="28"/>
          <w:szCs w:val="28"/>
          <w:lang w:val="uk-UA"/>
        </w:rPr>
        <w:t>18</w:t>
      </w:r>
      <w:r>
        <w:rPr>
          <w:b/>
          <w:bCs/>
          <w:sz w:val="28"/>
          <w:szCs w:val="28"/>
          <w:lang w:val="uk-UA"/>
        </w:rPr>
        <w:t>.0</w:t>
      </w:r>
      <w:r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.202</w:t>
      </w:r>
      <w:r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14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b/>
          <w:spacing w:val="6"/>
          <w:sz w:val="28"/>
          <w:szCs w:val="28"/>
        </w:rPr>
        <w:t xml:space="preserve">зареєстрований у Південному міжрегіональному управлінні Міністерства юстиції (м. Одеса) </w:t>
      </w:r>
      <w:r>
        <w:rPr>
          <w:rStyle w:val="Xfm67845317"/>
          <w:rFonts w:cs="Times New Roman" w:ascii="Times New Roman" w:hAnsi="Times New Roman"/>
          <w:b/>
          <w:spacing w:val="6"/>
          <w:sz w:val="28"/>
          <w:szCs w:val="28"/>
        </w:rPr>
        <w:t>04.</w:t>
      </w:r>
      <w:r>
        <w:rPr>
          <w:rStyle w:val="Xfm67845317"/>
          <w:rFonts w:cs="Times New Roman" w:ascii="Times New Roman" w:hAnsi="Times New Roman"/>
          <w:b/>
          <w:spacing w:val="6"/>
          <w:sz w:val="28"/>
          <w:szCs w:val="28"/>
          <w:lang w:val="ru-RU"/>
        </w:rPr>
        <w:t>02</w:t>
      </w:r>
      <w:r>
        <w:rPr>
          <w:rStyle w:val="Xfm67845317"/>
          <w:rFonts w:cs="Times New Roman" w:ascii="Times New Roman" w:hAnsi="Times New Roman"/>
          <w:b/>
          <w:spacing w:val="6"/>
          <w:sz w:val="28"/>
          <w:szCs w:val="28"/>
        </w:rPr>
        <w:t>.202</w:t>
      </w:r>
      <w:r>
        <w:rPr>
          <w:rStyle w:val="Xfm67845317"/>
          <w:rFonts w:cs="Times New Roman" w:ascii="Times New Roman" w:hAnsi="Times New Roman"/>
          <w:b/>
          <w:spacing w:val="6"/>
          <w:sz w:val="28"/>
          <w:szCs w:val="28"/>
          <w:lang w:val="ru-RU"/>
        </w:rPr>
        <w:t>1</w:t>
      </w:r>
      <w:r>
        <w:rPr>
          <w:rStyle w:val="Xfm67845317"/>
          <w:rFonts w:cs="Times New Roman" w:ascii="Times New Roman" w:hAnsi="Times New Roman"/>
          <w:b/>
          <w:spacing w:val="6"/>
          <w:sz w:val="28"/>
          <w:szCs w:val="28"/>
        </w:rPr>
        <w:t xml:space="preserve"> за № </w:t>
      </w:r>
      <w:r>
        <w:rPr>
          <w:rStyle w:val="Xfm67845317"/>
          <w:rFonts w:cs="Times New Roman" w:ascii="Times New Roman" w:hAnsi="Times New Roman"/>
          <w:b/>
          <w:spacing w:val="6"/>
          <w:sz w:val="28"/>
          <w:szCs w:val="28"/>
          <w:lang w:val="ru-RU"/>
        </w:rPr>
        <w:t>11</w:t>
      </w:r>
      <w:r>
        <w:rPr>
          <w:rStyle w:val="Xfm67845317"/>
          <w:rFonts w:cs="Times New Roman" w:ascii="Times New Roman" w:hAnsi="Times New Roman"/>
          <w:b/>
          <w:spacing w:val="6"/>
          <w:sz w:val="28"/>
          <w:szCs w:val="28"/>
        </w:rPr>
        <w:t>/</w:t>
      </w:r>
      <w:r>
        <w:rPr>
          <w:rStyle w:val="Xfm67845317"/>
          <w:rFonts w:cs="Times New Roman" w:ascii="Times New Roman" w:hAnsi="Times New Roman"/>
          <w:b/>
          <w:spacing w:val="6"/>
          <w:sz w:val="28"/>
          <w:szCs w:val="28"/>
          <w:lang w:val="ru-RU"/>
        </w:rPr>
        <w:t>268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Про проведення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щорічного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 xml:space="preserve">обласного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онкурсу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cs="Times New Roman" w:ascii="Times New Roman" w:hAnsi="Times New Roman"/>
          <w:b/>
          <w:bCs/>
          <w:sz w:val="28"/>
          <w:szCs w:val="28"/>
        </w:rPr>
        <w:t>В об’єктиві натураліста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Тема у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2022 році «Дика природа»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 xml:space="preserve">Положення про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щорічний обласний конкурс </w:t>
      </w:r>
      <w:r>
        <w:rPr>
          <w:rFonts w:ascii="Times New Roman" w:hAnsi="Times New Roman"/>
          <w:sz w:val="28"/>
          <w:szCs w:val="28"/>
        </w:rPr>
        <w:t>«В об’єктиві натураліста»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І. Загальні положення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Щорічний обласний конкурс </w:t>
      </w:r>
      <w:r>
        <w:rPr>
          <w:rFonts w:ascii="Times New Roman" w:hAnsi="Times New Roman"/>
          <w:sz w:val="28"/>
          <w:szCs w:val="28"/>
        </w:rPr>
        <w:t>«В об’єктиві натураліста»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(далі – Конкурс) проводиться в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ідповідно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до підпункту 20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від 21 червня 2018 року № 257-р (зі змінами),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з метою </w:t>
      </w:r>
      <w:r>
        <w:rPr>
          <w:rFonts w:cs="Times New Roman" w:ascii="Times New Roman" w:hAnsi="Times New Roman"/>
          <w:sz w:val="28"/>
          <w:szCs w:val="28"/>
        </w:rPr>
        <w:t>формування громадської позиції, реалізації потенціалу здобувачів освіти, їх підготовки до цілісного сприйняття сучасних екологічних проблем, свідомого розуміння процесів, що відбуваються у природі в результаті людської діяльності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 (за згодою).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Основними завданнями Конкурсу є: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виховання у здобувачів освіти любові до рідного краю;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екологічне те естетичне виховання учнів;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пошук нових форм і методів формування у здобувачів освіти навичок природоохоронної та просвітницької діяльності.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4. Конкурс проводиться за </w:t>
      </w:r>
      <w:r>
        <w:rPr>
          <w:rFonts w:eastAsia="Times New Roman" w:cs="Calibri" w:ascii="Times New Roman" w:hAnsi="Times New Roman"/>
          <w:sz w:val="28"/>
          <w:szCs w:val="20"/>
          <w:lang w:val="ru-RU" w:eastAsia="ar-SA"/>
        </w:rPr>
        <w:t>номінаціями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>:</w:t>
      </w:r>
    </w:p>
    <w:p>
      <w:pPr>
        <w:pStyle w:val="Normal"/>
        <w:tabs>
          <w:tab w:val="clear" w:pos="709"/>
          <w:tab w:val="left" w:pos="851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1) «Кращий відеофільм» - передбачає створення в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ідеофільму за поданою темою. Відеофільм повинен бути записаний на диск CD-R, CD-RW або </w:t>
      </w:r>
      <w:r>
        <w:rPr>
          <w:rFonts w:eastAsia="Times New Roman" w:cs="Times New Roman" w:ascii="Times New Roman" w:hAnsi="Times New Roman"/>
          <w:sz w:val="28"/>
          <w:szCs w:val="28"/>
          <w:lang w:val="pt-BR" w:eastAsia="ar-SA"/>
        </w:rPr>
        <w:t>DVD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pt-BR" w:eastAsia="ar-SA"/>
        </w:rPr>
        <w:t>R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pt-BR" w:eastAsia="ar-SA"/>
        </w:rPr>
        <w:t>DVD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pt-BR" w:eastAsia="ar-SA"/>
        </w:rPr>
        <w:t>RW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Програма для запису 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Windows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Move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Maker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формат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AVI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MPEG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Якщо робота виконана не українською мовою, додається переклад. Тривалість відеофільму - до 15 хвилин;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left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2) «Кращий відеоролик (відео кліп)» - передбачає створення відеоролику або відео кліпу за поданою темою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 В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ідеоролик (відео кліп)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повинен бути записаний на диск CD-R, CD-RW або </w:t>
      </w:r>
      <w:r>
        <w:rPr>
          <w:rFonts w:eastAsia="Times New Roman" w:cs="Times New Roman" w:ascii="Times New Roman" w:hAnsi="Times New Roman"/>
          <w:sz w:val="28"/>
          <w:szCs w:val="28"/>
          <w:lang w:val="pt-BR" w:eastAsia="ar-SA"/>
        </w:rPr>
        <w:t>DVD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pt-BR" w:eastAsia="ar-SA"/>
        </w:rPr>
        <w:t>R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pt-BR" w:eastAsia="ar-SA"/>
        </w:rPr>
        <w:t>DVD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val="pt-BR" w:eastAsia="ar-SA"/>
        </w:rPr>
        <w:t>RW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. Програма для запису –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Windows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Move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Maker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, формат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AVI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MPEG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4. Якщо робота виконана не українською мовою, додається переклад. Тривалість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відеоролика (відео кліпу)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- до 7 хвилин;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3) «Кращий слайд - фільм» - передбачає створення слайд – фільму за поданою темою, записаний на диск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CD-R або CD-RW. Програма для запису - Power Point 2003. Кількість слайдів - до 20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4)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«Краща фоторобота» - передбачає створення комплекту</w:t>
        <w:br/>
        <w:t>із 5 односюжетних кольорових або чорно-білих фотографій за поданою темою. Розмір фотографій – формат 30 х 20 см.</w:t>
      </w:r>
    </w:p>
    <w:p>
      <w:pPr>
        <w:pStyle w:val="Normal"/>
        <w:tabs>
          <w:tab w:val="clear" w:pos="709"/>
          <w:tab w:val="left" w:pos="851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</w:r>
    </w:p>
    <w:p>
      <w:pPr>
        <w:pStyle w:val="ListParagraph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Учасники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Конкурсу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до початку його проведення мають бути ознайомлені з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Положенням про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щорічний обласний конкурс </w:t>
      </w:r>
      <w:r>
        <w:rPr>
          <w:rFonts w:ascii="Times New Roman" w:hAnsi="Times New Roman"/>
          <w:sz w:val="28"/>
          <w:szCs w:val="28"/>
        </w:rPr>
        <w:t>«В об’єктиві натураліста»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(далі – Положення)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ListParagraph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Учасники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Конкурсу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 xml:space="preserve"> повинні дотримуватись вимог його проведення, норм і правил життєдіяльності.</w:t>
      </w:r>
    </w:p>
    <w:p>
      <w:pPr>
        <w:pStyle w:val="Normal"/>
        <w:suppressAutoHyphens w:val="true"/>
        <w:bidi w:val="0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608" w:leader="none"/>
        </w:tabs>
        <w:suppressAutoHyphens w:val="true"/>
        <w:bidi w:val="0"/>
        <w:spacing w:lineRule="auto" w:line="240" w:before="0" w:after="0"/>
        <w:jc w:val="center"/>
        <w:outlineLvl w:val="5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ІІ. Порядок і строки проведення Конкурсу</w:t>
      </w:r>
    </w:p>
    <w:p>
      <w:pPr>
        <w:pStyle w:val="Normal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  <w:t>Конкурс проводиться щорічно у два етапи: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І етап – направлення робіт відповідно до номінацій цього Положення до Обласного еколого-натуралістичного центру учнівської молоді.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Телефон для довідок (0512) 37-61-63;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ІІ етап – оцінювання робіт та підбиття підсумків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Тема поточного року та графік проведення Конкурсу визначаються окремим наказом </w:t>
      </w:r>
      <w:r>
        <w:rPr>
          <w:rFonts w:ascii="Times New Roman" w:hAnsi="Times New Roman"/>
          <w:sz w:val="28"/>
          <w:szCs w:val="28"/>
        </w:rPr>
        <w:t>департаменту 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 участі у Конкурсі запрошуються здобувачі освіти 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Учасники Конкурсу мають право приймати участь в одній або кількох номінаціях Конкурсу та можуть бути представлені у номінації не більше, ніж трьома роботами.</w:t>
      </w:r>
    </w:p>
    <w:p>
      <w:pPr>
        <w:pStyle w:val="ListParagraph"/>
        <w:bidi w:val="0"/>
        <w:spacing w:lineRule="auto" w:line="240"/>
        <w:jc w:val="left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Для участі у Конкурсі необхідно подати заявку </w:t>
      </w:r>
      <w:r>
        <w:rPr>
          <w:rFonts w:eastAsia="Times New Roman" w:cs="Calibri" w:ascii="Times New Roman" w:hAnsi="Times New Roman"/>
          <w:sz w:val="28"/>
          <w:szCs w:val="28"/>
          <w:lang w:val="ru-RU" w:eastAsia="ar-SA"/>
        </w:rPr>
        <w:t>, згідно з додатком,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та роботи до Обласного еколого-натуралістичного центру учнівської молоді.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>Телефон для довідок – (0512) 37-61-63.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ІІІ. Вимоги до робіт, що подаються для участі у Конкурсі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1. Роботи подаються (надсилаються)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до Обласного еколого-натуралістичного центру учнівської молоді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у зазначений термін. До кожної роботи додається 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ar-SA"/>
        </w:rPr>
        <w:t>етикетка, яка повинна містити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: назву роботи, категорію та напрямок Конкурсу; коротку анотацію на роботу, інформацію про автора – ПІБ (повністю), вік, клас/гурток, найменування закладу освіти (без скорочень); електронну адресу або телефон для зворотного зв’язку (обов’язково); інформацію про керівника – ПІБ (повністю), посаду та місце роботи. </w:t>
      </w:r>
    </w:p>
    <w:p>
      <w:pPr>
        <w:pStyle w:val="Normal"/>
        <w:suppressAutoHyphens w:val="true"/>
        <w:bidi w:val="0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bidi w:val="0"/>
        <w:spacing w:lineRule="auto" w:line="240" w:before="0" w:after="0"/>
        <w:ind w:left="142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ar-SA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>
      <w:pPr>
        <w:pStyle w:val="Normal"/>
        <w:bidi w:val="0"/>
        <w:spacing w:lineRule="auto" w:line="240" w:before="0" w:after="0"/>
        <w:ind w:left="142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Роботи подаються групові або індивідуальні. Групові роботи не повинні містити роботи виконавців різних вікових категорій.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Роботи, які не відповідають вимогам, не приймаються до участі у Конкурсі.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І</w:t>
      </w:r>
      <w:r>
        <w:rPr>
          <w:rFonts w:eastAsia="Times New Roman" w:cs="Times New Roman" w:ascii="Times New Roman" w:hAnsi="Times New Roman"/>
          <w:bCs/>
          <w:sz w:val="28"/>
          <w:szCs w:val="28"/>
          <w:lang w:val="en-US" w:eastAsia="ar-SA"/>
        </w:rPr>
        <w:t>V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. Підбиття підсумків Конкурсу та критерії оцінювання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1. 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Оцінка робіт учасників Конкурсу здійснюється журі. Журі формується з представників організаторів Конкур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val="en-US" w:eastAsia="ar-SA"/>
        </w:rPr>
        <w:t>c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у.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 xml:space="preserve">Склад журі затверджується наказом </w:t>
      </w:r>
      <w:r>
        <w:rPr>
          <w:rFonts w:eastAsia="Times New Roman" w:cs="Calibri" w:ascii="Times New Roman" w:hAnsi="Times New Roman"/>
          <w:sz w:val="28"/>
          <w:szCs w:val="20"/>
          <w:lang w:eastAsia="ar-SA"/>
        </w:rPr>
        <w:t xml:space="preserve">департаменту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освіти і науки Миколаївської обласної державної адміністрації</w:t>
      </w: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До складу журі не можуть входити близькі особи учасників Конкурсу.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0"/>
          <w:lang w:eastAsia="ar-SA"/>
        </w:rPr>
      </w:pPr>
      <w:r>
        <w:rPr>
          <w:rFonts w:eastAsia="Times New Roman" w:cs="Calibri" w:ascii="Times New Roman" w:hAnsi="Times New Roman"/>
          <w:sz w:val="28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>2. Журі очолює голова, який організовує роботу членів журі, проводить засідання журі та підписує протоколи засідань журі.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sz w:val="28"/>
          <w:szCs w:val="28"/>
          <w:lang w:eastAsia="ar-SA"/>
        </w:rPr>
        <w:t>Журі приймає колегіальне рішення щодо визначення переможців Конкурсу в межах відповідних номінацій. Рішення журі оформлюється протоколом.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Calibri" w:cs="Calibri"/>
          <w:b/>
          <w:b/>
          <w:sz w:val="28"/>
          <w:szCs w:val="28"/>
          <w:lang w:eastAsia="ar-SA"/>
        </w:rPr>
      </w:pPr>
      <w:r>
        <w:rPr>
          <w:rFonts w:eastAsia="Calibri" w:cs="Calibri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Переможці визначаються у двох вікових категоріях: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І вікова категорія – учні 1-5 класів;</w:t>
      </w:r>
    </w:p>
    <w:p>
      <w:pPr>
        <w:pStyle w:val="Normal"/>
        <w:shd w:val="clear" w:color="000000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ІІ вікова категорія – учні 6-11 класів</w:t>
      </w:r>
    </w:p>
    <w:p>
      <w:pPr>
        <w:pStyle w:val="Normal"/>
        <w:shd w:val="clear" w:color="000000" w:fill="FFFFFF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4.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Роботи Конкурсу оцінюються за такими критеріями: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відповідність темі Конкурсу, повноті її розкриття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 18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власна творча неповторність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–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20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актуальність порушеної проблеми –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12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оформлення роботи –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10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пізнавальне та виховне значення роботи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–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 12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рівень майстерності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 16 балів;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якість виконаної роботи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 12 балів.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Calibri"/>
          <w:bCs/>
          <w:color w:val="000000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bCs/>
          <w:color w:val="000000"/>
          <w:sz w:val="28"/>
          <w:szCs w:val="28"/>
          <w:lang w:eastAsia="ar-SA"/>
        </w:rPr>
        <w:t>Підсумки Конкурсу підводяться за загальною сумою балів. Максимальна сумарна кількість балів – 100.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>Роботи подані на Конкурс не рецензуються.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val="en-US" w:eastAsia="ar-SA"/>
        </w:rPr>
        <w:t>V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>. Нагородження переможців Конкурсу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1. Переможці конкурсу, які посіли І, ІІ, ІІІ місця нагороджуються грамотами департаменту освіти і науки Миколаївської обласної державної адміністрації, можуть нагороджуватись подарунками.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Cs/>
          <w:sz w:val="28"/>
          <w:szCs w:val="28"/>
        </w:rPr>
        <w:t xml:space="preserve">На підставі рішення </w:t>
      </w:r>
      <w:r>
        <w:rPr>
          <w:rFonts w:cs="Times New Roman" w:ascii="Times New Roman" w:hAnsi="Times New Roman"/>
          <w:color w:val="000000"/>
          <w:spacing w:val="7"/>
          <w:sz w:val="28"/>
          <w:szCs w:val="28"/>
        </w:rPr>
        <w:t>журі</w:t>
      </w:r>
      <w:r>
        <w:rPr>
          <w:rFonts w:cs="Times New Roman" w:ascii="Times New Roman" w:hAnsi="Times New Roman"/>
          <w:bCs/>
          <w:sz w:val="28"/>
          <w:szCs w:val="28"/>
        </w:rPr>
        <w:t xml:space="preserve"> видається наказ департаменту освіти і науки Миколаївської обласної державної адміністрації про підсумки проведення щорічного обласного конкурсу </w:t>
      </w:r>
      <w:r>
        <w:rPr>
          <w:rFonts w:ascii="Times New Roman" w:hAnsi="Times New Roman"/>
          <w:sz w:val="28"/>
          <w:szCs w:val="28"/>
        </w:rPr>
        <w:t>«В об’єктиві натураліста»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/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12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LibreOffice/7.3.5.2$Windows_X86_64 LibreOffice_project/184fe81b8c8c30d8b5082578aee2fed2ea847c01</Application>
  <AppVersion>15.0000</AppVersion>
  <Pages>4</Pages>
  <Words>824</Words>
  <Characters>5450</Characters>
  <CharactersWithSpaces>6235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2022-09-28T18:36:51Z</dcterms:created>
  <dc:creator/>
  <dc:description/>
  <dc:language>ru-RU</dc:language>
  <cp:lastModifiedBy/>
  <dcterms:modified xsi:type="dcterms:W3CDTF">2022-09-28T18:41:06Z</dcterms:modified>
  <cp:revision>1</cp:revision>
  <dc:subject/>
  <dc:title/>
</cp:coreProperties>
</file>