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 xml:space="preserve">29.09.2020 № </w:t>
      </w:r>
      <w:r>
        <w:rPr>
          <w:b/>
          <w:bCs/>
          <w:sz w:val="28"/>
          <w:szCs w:val="28"/>
          <w:lang w:val="uk-UA"/>
        </w:rPr>
        <w:t>248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зареєстрований у Південному міжрегіональному управлінні Міністерства юстиції (м. Одеса) 20.10.2020 за № 219/228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 проведення щорічної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обласної акції «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Юннатівська толока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»</w:t>
      </w:r>
    </w:p>
    <w:p>
      <w:pPr>
        <w:pStyle w:val="Normal"/>
        <w:bidi w:val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(День юного натураліста)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Положення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про щорічну обласну акцію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0"/>
          <w:lang w:val="ru-RU" w:eastAsia="ru-RU"/>
        </w:rPr>
        <w:t>Юннатівська толока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І. Загальні положення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 червня 2018 року № 257-р (зі змінами), з метою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активізації роботи зі здобувачами освіти щодо формування у них екологічної культури, залучення їх до практичної природоохоронної роботи та інших біологічних напрямів, підвищення ефективності навчально-дослідної роботи вихованців, учнів та студентів на навчально-дослідних земельних ділянках і задоволення потреб у професійному самовизначенні та творчій самореалізації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Організаторами Акції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Основними завданнями Акції є: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популяризація кращого досвіду природоохоронної роботи зі здобувачами освіти;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підвищення ефективності навчально-дослідної роботи вихованців, учнів на навчально-дослідних земельних ділянках;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задоволення потреб у професійному самовизначенні та творчій самореалізації, підготовка учнівської молоді до професійної діяльності.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Учасники до початку проведення Акції ознайомлюються з Положенням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 щорічну обласну акцію «Юннатівська толока»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Учасники Акції повинні дотримуватись вимог до її проведення, норм і правил життєдіяльності.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ІІ. Порядок проведення Акції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Акція проводиться щорічно у два етапи: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 етап – передбачає трудові акції з впорядкування певних територій; просвітницькі природоохоронні заходи; дитячі науково-практичні конференції; виставки дитячих робіт, домашніх тварин, кімнатних рослин; посвята в юннати; екскурсії; спільні заходи з батьківською громадськістю та іншими організаціями; зустрічі з ветеранами юннатівського руху; круглі столи за участю науковців, представників громадських організацій, органів влади, засобів масової інформації; оформлення та подання звітних матеріалів;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направлення звітних матеріалів відповідно проведеної роботи до Обласного еколого-натуралістичного центру учнівської молоді.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Телефон для довідок (0512) 37-61-63.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ІІ етап – протягом якого проводиться оцінювання звітних матеріалів та підводяться підсумки Акції.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Дати та графік проведення Акції визначаються окремим наказом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департаменту освіти і науки Миколаївської обласної державної адміністрації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До участі 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Акції запрошуються педагогічні та учнівські колективи 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>
      <w:pPr>
        <w:pStyle w:val="Normal"/>
        <w:bidi w:val="0"/>
        <w:spacing w:lineRule="auto" w:line="240" w:before="0" w:after="0"/>
        <w:ind w:firstLine="54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ІІІ. Вимоги до звітних матеріалів, що надаються для участі у Акції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Учасники Акції оформляють результати роботи у вигляді звітів, написаних у довільній формі, які можуть включати фотоматеріали, відеоматеріали, презентації, сценарії заходів, конспекти виховних годин, копії статей у місцевих засобах масової інформації тощо.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2.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Звітні матеріали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повинні бути надруковані державною мовою з урахуванням вимог сучасного українського правопису.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Звітні матеріали подаються у друкованому вигляді та обов’язково на електронних носіях – CD-R, CD-RW, DVD-RW дисках, текст на сторінках формату А-4, набраний у текстовому редакторі </w:t>
      </w:r>
      <w:r>
        <w:rPr>
          <w:rFonts w:eastAsia="Times New Roman" w:cs="Calibri" w:ascii="Times New Roman" w:hAnsi="Times New Roman"/>
          <w:sz w:val="28"/>
          <w:szCs w:val="20"/>
          <w:lang w:val="en-US" w:eastAsia="ar-SA"/>
        </w:rPr>
        <w:t>Word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шрифтом </w:t>
      </w:r>
      <w:r>
        <w:rPr>
          <w:rFonts w:eastAsia="Times New Roman" w:cs="Calibri" w:ascii="Times New Roman" w:hAnsi="Times New Roman"/>
          <w:sz w:val="28"/>
          <w:szCs w:val="20"/>
          <w:lang w:val="en-US" w:eastAsia="ar-SA"/>
        </w:rPr>
        <w:t>Times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8"/>
          <w:szCs w:val="20"/>
          <w:lang w:val="en-US" w:eastAsia="ar-SA"/>
        </w:rPr>
        <w:t>New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8"/>
          <w:szCs w:val="20"/>
          <w:lang w:val="en-US" w:eastAsia="ar-SA"/>
        </w:rPr>
        <w:t>Roman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розміром 14 </w:t>
      </w:r>
      <w:r>
        <w:rPr>
          <w:rFonts w:eastAsia="Times New Roman" w:cs="Calibri" w:ascii="Times New Roman" w:hAnsi="Times New Roman"/>
          <w:sz w:val="28"/>
          <w:szCs w:val="20"/>
          <w:lang w:val="en-US" w:eastAsia="ar-SA"/>
        </w:rPr>
        <w:t>pt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з полуторним міжрядковим інтервалом. Поля: ліве - 30 мм, праве - 10 мм, верхнє – 20 мм, нижнє – 20 мм.</w:t>
      </w:r>
      <w:r>
        <w:rPr>
          <w:rFonts w:eastAsia="Times New Roman" w:cs="Calibri" w:ascii="Bookman Old Style" w:hAnsi="Bookman Old Style"/>
          <w:sz w:val="28"/>
          <w:szCs w:val="20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>Текстова частина супроводжується відповідними фотографіями, відеофільмами, презентаціями у форматі Po</w:t>
      </w:r>
      <w:r>
        <w:rPr>
          <w:rFonts w:eastAsia="Times New Roman" w:cs="Calibri" w:ascii="Times New Roman" w:hAnsi="Times New Roman"/>
          <w:sz w:val="28"/>
          <w:szCs w:val="20"/>
          <w:lang w:val="en-US" w:eastAsia="ar-SA"/>
        </w:rPr>
        <w:t>w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>er Point.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Звітні матеріали подаються групові або індивідуальні. На титульній сторінці обов’язково має бути зазначена інформація про автора (авторів): прізвище, ім’я, посада, вік, клас, найменування закладу освіти, населений пункт, район (місто), об’єднана територіальна громада.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Під час проведення Акції обробка персональних даних учасників здійснюється з урахуванням вимог Закону України «Про захист персональних даних».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Звітні матеріали, виконані чи надані без дотримання умов цього Положення, журі Акції розглянуті не будуть.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Подані на Акцію звітні матеріали не рецензуються.</w:t>
      </w:r>
    </w:p>
    <w:p>
      <w:pPr>
        <w:pStyle w:val="Normal"/>
        <w:bidi w:val="0"/>
        <w:spacing w:lineRule="auto" w:line="240" w:before="0" w:after="0"/>
        <w:ind w:firstLine="540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. Підведення підсумків Акції та критерії оцінювання</w:t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Оцінка звітних матеріалів учасників проводиться журі. Журі формується з представників організаторів Акції. Склад журі затверджується наказом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департаменту освіти і науки Миколаївської обласної державної адміністрації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До складу журі не можуть входити близькі особи учасників Акції.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Журі очолює голова, який організовує роботу членів журі, проводить засідання журі та підписує протоколи засіданнь журі.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Журі приймає колегіальне рішення щодо визначення переможців Акції.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Рішення журі оформлюється протоколом.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 xml:space="preserve">3.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Звітні матеріали Акції оцінюються за такими критеріями: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науковість, пропагандистська цінність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методична грамотність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відповідність змісту поставленій меті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актуальність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інформативність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оригінальність – до 5 балів;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оформлення звітних матеріалів – до 5 балів.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4. Підсумки Акції підбиваються за загальною сумою балів. Максимальна сумарна кількість балів – 60.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Нагородження переможців Акції</w:t>
      </w:r>
    </w:p>
    <w:p>
      <w:pPr>
        <w:pStyle w:val="Normal"/>
        <w:bidi w:val="0"/>
        <w:spacing w:lineRule="auto" w:line="240" w:before="0" w:after="0"/>
        <w:ind w:firstLine="540"/>
        <w:jc w:val="left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Переможці Акції, які посіли І, ІІ, ІІІ місця, нагороджуються грамотами департаменту освіти і науки Миколаївської обласної державної адміністрації,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можуть нагороджуватись подарунками.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На підставі рішення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журі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Акції.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LibreOffice/7.3.5.2$Windows_X86_64 LibreOffice_project/184fe81b8c8c30d8b5082578aee2fed2ea847c01</Application>
  <AppVersion>15.0000</AppVersion>
  <Pages>3</Pages>
  <Words>715</Words>
  <Characters>5036</Characters>
  <CharactersWithSpaces>5715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2022-09-28T17:49:31Z</dcterms:created>
  <dc:creator/>
  <dc:description/>
  <dc:language>ru-RU</dc:language>
  <cp:lastModifiedBy/>
  <dcterms:modified xsi:type="dcterms:W3CDTF">2022-09-28T17:53:41Z</dcterms:modified>
  <cp:revision>1</cp:revision>
  <dc:subject/>
  <dc:title/>
</cp:coreProperties>
</file>