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3828" w:hanging="0"/>
        <w:rPr>
          <w:rFonts w:ascii="Bookman Old Style" w:hAnsi="Bookman Old Style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Bookman Old Style" w:hAnsi="Bookman Old Style"/>
          <w:b/>
          <w:sz w:val="16"/>
          <w:szCs w:val="20"/>
          <w:lang w:eastAsia="ru-RU"/>
        </w:rPr>
        <w:t xml:space="preserve">      </w:t>
      </w: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3261" w:hanging="0"/>
        <w:rPr>
          <w:rFonts w:ascii="Times New Roman" w:hAnsi="Times New Roman" w:eastAsia="Times New Roman" w:cs="Times New Roman"/>
          <w:b/>
          <w:b/>
          <w:spacing w:val="46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pacing w:val="46"/>
          <w:sz w:val="25"/>
          <w:szCs w:val="20"/>
          <w:lang w:eastAsia="ru-RU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647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pacing w:val="4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38"/>
          <w:sz w:val="24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38"/>
          <w:sz w:val="24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38"/>
          <w:sz w:val="24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38"/>
          <w:sz w:val="24"/>
          <w:szCs w:val="28"/>
          <w:lang w:val="ru-RU"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b/>
          <w:b/>
          <w:spacing w:val="140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pacing w:val="140"/>
          <w:kern w:val="2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eastAsia="ar-SA"/>
              </w:rPr>
              <w:t>_246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зареєстрований у Південному міжрегіональному управлінні Міністерства юстиції (м. Одеса) 20.10.2020 за № 219/228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проведення щорічної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обласної акції «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Юннатівська толока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з метою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активізації роботи зі здобувачами освіти щодо формування у них екологічної культури, залучення їх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ділянках і задоволення потреб у професійному самовизначенні та творчій самореалізації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НАКАЗУЮ: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Щорічно проводити обласну акцію «</w:t>
      </w: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  <w:t>Юннатівська толока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(далі – Акція).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Затвердити Положення про щорічну обласну акцію «</w:t>
      </w: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  <w:t>Юннатівська толока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(далі – Положення ), що додається.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Акції щорічно до Обласного еколого-натуралістичного центру учнівської молоді.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Директору Обласного еколого-натуралістичного центру учнівської молоді Троїцькій Т. забезпечити організацію та проведення Акції, роботу журі.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Витрати на проведення Акції здійснити за рахунок Обласного еколого-натуралістичного центру учнівської молоді та коштів, не заборонених чинним законодавством України.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Цей наказ набирає чинності з дня його офіційного опублікування у засобах масової інформації.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</w:t>
      </w:r>
    </w:p>
    <w:p>
      <w:pPr>
        <w:pStyle w:val="Normal"/>
        <w:spacing w:lineRule="auto" w:line="240" w:before="0" w:after="0"/>
        <w:ind w:left="55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про щорічну обласну акцію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  <w:t>Юннатівська толока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І. Загальні 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з метою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активізації роботи зі здобувачами освіти щодо формування у них екологічної культури, залучення їх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ділянках і задоволення потреб у професійному самовизначенні та творчій самореалізації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Основними завданнями Акції є: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популяризація кращого досвіду природоохоронної роботи зі здобувачами освіти;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підвищення ефективності навчально-дослідної роботи вихованців, учнів на навчально-дослідних земельних ділянках;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задоволення потреб у професійному самовизначенні та творчій самореалізації, підготовка учнівської молоді до професійної діяльності.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до початку проведення Акції ознайомлюються з Положенням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щорічну обласну акцію «Юннатівська толока»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Учасники Акції повинні дотримуватись вимог до її проведення, норм і правил життєдіяльності.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ІІ. Порядок проведення Акції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Акція проводиться щорічно у два етапи: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передбачає трудові акції з впорядкування певних територій; просвітницькі природоохоронні заходи; дитячі науково-практичні конференції; виставки дитячих робіт, домашніх тварин, кімнатних рослин; посвята в юннати; екскурсії; спільні заходи з батьківською громадськістю та іншими організаціями; зустрічі з ветеранами юннатівського руху; круглі столи за участю науковців, представників громадських організацій, органів влади, засобів масової інформації; оформлення та подання звітних матеріалів;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направлення звітних матеріалів відповідно проведеної роботи до Обласного еколого-натуралістичного центру учнівської молоді.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 етап – протягом якого проводиться оцінювання звітних матеріалів та підводяться підсумки Акції.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Дати та графік проведення Акції визначаються окремим наказом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Акції запрошуються педагогічні та учнівські колективи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ІІІ. Вимоги до звітних матеріалів, що надаються для участі у Акції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Учасники Акції оформляють результати роботи у вигляді звітів, написаних у довільній формі, які можуть включати фотоматеріали, відеоматеріали, презентації, сценарії заходів, конспекти виховних годин, копії статей у місцевих засобах масової інформації тощо.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Звітні матеріали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повинні бути надруковані державною мовою з урахуванням вимог сучасного українського правопису.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Звітні матеріали подаються у друкованому вигляді та обов’язково на електронних носіях – CD-R, CD-RW, DVD-RW дисках, текст на сторінках формату А-4, набраний у текстовому редакторі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Word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шрифтом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Times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New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Roman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розміром 14 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pt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з полуторним міжрядковим інтервалом. Поля: ліве - 30 мм, праве - 10 мм, верхнє – 20 мм, нижнє – 20 мм.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Текстова частина супроводжується відповідними фотографіями, відеофільмами, презентаціями у форматі Po</w:t>
      </w:r>
      <w:r>
        <w:rPr>
          <w:rFonts w:eastAsia="Times New Roman" w:cs="Calibri" w:ascii="Times New Roman" w:hAnsi="Times New Roman"/>
          <w:sz w:val="28"/>
          <w:szCs w:val="20"/>
          <w:lang w:val="en-US" w:eastAsia="ar-SA"/>
        </w:rPr>
        <w:t>w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er Point.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Звітні матеріали подаються групові або індивідуальні. На титульній сторінці обов’язково має бути зазначена інформація про автора (авторів): прізвище, ім’я, посада, вік, клас, найменування закладу освіти, населений пункт, район (місто), об’єднана територіальна громада.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Звітні матеріали, виконані чи надані без дотримання умов цього Положення, журі Акції розглянуті не будуть.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Подані на Акцію звітні матеріали не рецензуються.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 Підведення підсумків Акції та критерії оцінювання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Оцінка звітних матеріалів учасників проводиться журі. Журі формується з представників організаторів Акції. Склад журі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складу журі не можуть входити близькі особи учасників Акції.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Журі очолює голова, який організовує роботу членів журі, проводить засідання журі та підписує протоколи засіданнь журі.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 приймає колегіальне рішення щодо визначення переможців Акції.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 журі оформлюється протоколом.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Звітні матеріали Акції оцінюються за такими критеріями: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науковість, пропагандистська цінність – до 10 балів;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методична грамотність – до 10 балів;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відповідність змісту поставленій меті – до 10 балів;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актуальність – до 10 балів;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інформативність – до 10 балів;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оригінальність – до 5 балів;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звітних матеріалів – до 5 балів.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4. Підсумки Акції підбиваються за загальною сумою балів. Максимальна сумарна кількість балів – 60.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Нагородження переможців Акції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Переможці Акції, які посіли І, ІІ, ІІІ місця, нагороджуються грамотами департаменту освіти і науки Миколаївської обласної державної адміністрації,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можуть нагороджуватись подарунками.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журі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90015203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15" w:hanging="121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0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560fb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560fb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e560fb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560f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560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LibreOffice/7.3.5.2$Windows_X86_64 LibreOffice_project/184fe81b8c8c30d8b5082578aee2fed2ea847c01</Application>
  <AppVersion>15.0000</AppVersion>
  <Pages>5</Pages>
  <Words>912</Words>
  <Characters>6483</Characters>
  <CharactersWithSpaces>7381</CharactersWithSpaces>
  <Paragraphs>64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2020-10-21T12:45:00Z</dcterms:created>
  <dc:creator>Инна</dc:creator>
  <dc:description/>
  <dc:language>ru-RU</dc:language>
  <cp:lastModifiedBy/>
  <dcterms:modified xsi:type="dcterms:W3CDTF">2022-09-25T19:03:00Z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