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ергамент" type="tile"/>
    </v:background>
  </w:background>
  <w:body>
    <w:p w:rsidR="002F3922" w:rsidRPr="00A479AA" w:rsidRDefault="002F3922" w:rsidP="002F392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lang w:val="uk-UA"/>
        </w:rPr>
      </w:pPr>
      <w:r w:rsidRPr="00A479AA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lang w:val="uk-UA"/>
        </w:rPr>
        <w:t>Матеріально-технічне забезпечення закладу освіти</w:t>
      </w:r>
    </w:p>
    <w:p w:rsidR="002F3922" w:rsidRPr="00A479AA" w:rsidRDefault="001C1883" w:rsidP="00A479AA">
      <w:pPr>
        <w:ind w:left="-851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uk-UA"/>
        </w:rPr>
      </w:pPr>
      <w:r w:rsidRPr="00A479AA">
        <w:rPr>
          <w:noProof/>
          <w:lang w:eastAsia="ru-RU"/>
        </w:rPr>
        <w:drawing>
          <wp:inline distT="0" distB="0" distL="0" distR="0">
            <wp:extent cx="6381990" cy="2533650"/>
            <wp:effectExtent l="95250" t="76200" r="95010" b="76200"/>
            <wp:docPr id="9" name="Рисунок 9" descr="https://mariupolrada.gov.ua/uploads/thumb/1/invest_image/9594-%D0%97%D0%9E%D0%A8%20%E2%84%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iupolrada.gov.ua/uploads/thumb/1/invest_image/9594-%D0%97%D0%9E%D0%A8%20%E2%84%9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81" cy="25322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113E" w:rsidRPr="00A479AA" w:rsidRDefault="002F3922" w:rsidP="008A1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Будівля навчального закладу є комунальною власністю </w:t>
      </w:r>
      <w:r w:rsidR="001C1883" w:rsidRPr="00A479AA">
        <w:rPr>
          <w:rFonts w:ascii="Times New Roman" w:hAnsi="Times New Roman" w:cs="Times New Roman"/>
          <w:sz w:val="28"/>
          <w:szCs w:val="28"/>
          <w:lang w:val="uk-UA"/>
        </w:rPr>
        <w:t>Маріупольської міської ради Донецької області</w:t>
      </w:r>
      <w:r w:rsidR="008A113E" w:rsidRPr="00A479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13E" w:rsidRPr="00A479AA">
        <w:rPr>
          <w:lang w:val="uk-UA"/>
        </w:rPr>
        <w:t xml:space="preserve"> </w:t>
      </w:r>
      <w:r w:rsidR="008A113E" w:rsidRPr="00A479AA">
        <w:rPr>
          <w:rFonts w:ascii="Times New Roman" w:hAnsi="Times New Roman" w:cs="Times New Roman"/>
          <w:sz w:val="28"/>
          <w:szCs w:val="28"/>
          <w:lang w:val="uk-UA"/>
        </w:rPr>
        <w:t>Заклад розташований за адресою: м. Маріуполь, вул. Новоросійська, 12, Приморський район. Школа знаходиться у комунальній власності. Стан будівель – задовільний, освітлення відповідає санітарно-гігієнічним нормам. Навчання відбувається в дві зміни. Середня наповнюваність класів по школі складає 32 учня.</w:t>
      </w:r>
    </w:p>
    <w:p w:rsidR="008A113E" w:rsidRPr="00A479AA" w:rsidRDefault="008A113E" w:rsidP="001C18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школи становить - </w:t>
      </w:r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>5725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479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922" w:rsidRPr="00A479AA" w:rsidRDefault="008A113E" w:rsidP="008A1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Рік побудови</w:t>
      </w:r>
      <w:r w:rsidR="001C188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закладу – 1975. </w:t>
      </w:r>
      <w:r w:rsidR="002F3922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Кількість поверхів – 4. </w:t>
      </w:r>
    </w:p>
    <w:p w:rsidR="002F3922" w:rsidRPr="00A479AA" w:rsidRDefault="002F3922" w:rsidP="002F39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Зонування закладу відповідає «Державним санітарним правилам планування та забудови населених пунктів». Будівлі в цілому забезпечують належні умови для організації навчально-виховного процесу, відпочинку учнів.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 Заклад здійснює свою діяльність відповідно до Статуту, затвердженого відповідно до рішення Маріупольської міської ради від </w:t>
      </w:r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03.03.2017 № 7/16-1204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та затвердження в новій редакції статутів комунальних загальноосвітніх навчальних закладів міста».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Для реалізації навчально-ви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ховного процесу в школі наявні </w:t>
      </w:r>
      <w:r w:rsidR="00A479A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класних кімнат</w:t>
      </w:r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(їх площа (</w:t>
      </w:r>
      <w:proofErr w:type="spellStart"/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>) – 2267), 1 спортивна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F55F2" w:rsidRPr="00A479AA"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, актова зала, їдальня на </w:t>
      </w:r>
      <w:r w:rsidR="00EB02FC" w:rsidRPr="00A479AA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посадочних місць,  майстерня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(майстерня обслугову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ючої праці,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столярна майстерня), центр учнівського самоврядування, спортивний майданчик, на якому знаходиться міні футбольне поле зі штучним покриттям та тренажерний комплекс. Загальна площа спорти</w:t>
      </w:r>
      <w:r w:rsidR="008368C3" w:rsidRPr="00A479AA">
        <w:rPr>
          <w:rFonts w:ascii="Times New Roman" w:hAnsi="Times New Roman" w:cs="Times New Roman"/>
          <w:sz w:val="28"/>
          <w:szCs w:val="28"/>
          <w:lang w:val="uk-UA"/>
        </w:rPr>
        <w:t>вного майданчика складає 6161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479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, він 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повністю </w:t>
      </w:r>
      <w:r w:rsidR="008368C3" w:rsidRPr="00A479AA">
        <w:rPr>
          <w:rFonts w:ascii="Times New Roman" w:hAnsi="Times New Roman" w:cs="Times New Roman"/>
          <w:sz w:val="28"/>
          <w:szCs w:val="28"/>
          <w:lang w:val="uk-UA"/>
        </w:rPr>
        <w:t>огороджений.</w:t>
      </w:r>
    </w:p>
    <w:p w:rsidR="00913C53" w:rsidRPr="00A479AA" w:rsidRDefault="002307B4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lastRenderedPageBreak/>
        <w:t>   З 45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навчальних приміщень 20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нав</w:t>
      </w:r>
      <w:r w:rsidR="00B17A27" w:rsidRPr="00A479AA">
        <w:rPr>
          <w:rFonts w:ascii="Times New Roman" w:hAnsi="Times New Roman" w:cs="Times New Roman"/>
          <w:sz w:val="28"/>
          <w:szCs w:val="28"/>
          <w:lang w:val="uk-UA"/>
        </w:rPr>
        <w:t>чання учнів початкової школи, 24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– для навчання учнів 5-11 класів. У закладі наявні: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Кабінети фізики: 1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Кабінети хімії: 1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Кабінети інформатики: 2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Столярна майстерня: 1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Кабінет обслуговуючої праці -1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Фізкультурна зала -1</w:t>
      </w:r>
    </w:p>
    <w:p w:rsidR="00B17A27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Малий спортивний зал – 1</w:t>
      </w:r>
    </w:p>
    <w:p w:rsidR="00527A6F" w:rsidRPr="00A479AA" w:rsidRDefault="00B17A27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Кількість інтерактивних комплексів: 2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</w:p>
    <w:p w:rsidR="00913C53" w:rsidRPr="00A479AA" w:rsidRDefault="00913C53" w:rsidP="00B17A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Навчальний заклад має  кабінет для педагогічних працівників (учительську), кабінет психолога та соціального педагога,  медичний пункт, кабінет директо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ра, кабінет секретаря, 2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кабінети заступників директора, кабінет навчальні лабораторії: фізики, хімії, 2 приміщення технічного персоналу, гардероб, дві роздягальні для учнів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з фізичної культури.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Кожен навчальний кабінет укомплектований партами, стільцями для кожного учня; столами і стільцями для обладнання кожного робочого місця педагогічного працівника в класних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кімнатах, навчальних кабінетах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; шафами у кожному навчальному кабінеті, класними дошками для кожної класної кімнати, навчального кабінету.    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br/>
        <w:t>    У закладі працює два кабі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нети інформатики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. У даних кабінетах встановлені навчальні комп’ютерні комплекси (10+1) з ліцензованим програмним забезпеченням. Всі комп’ютери знаходяться в локальній мережі та підключені до мережі Internet.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Кабінети інформатики відповідають вимогам чинних Державних санітарних правил та норм влаштування і обладнання кабінетів комп’ютерної техніки в навчальних закладах, затверджених постановою Головного державного санітарного лікаря України від 30 грудня 1998 р. №9 та Положенню про кабінет інформатики та інформаційно-комунікаційних технологій навчання загальноосвітніх навчальних закладів, затвердженому наказом Міністерства освіти і науки України від 20.05.2004 р. №407.</w:t>
      </w:r>
    </w:p>
    <w:p w:rsidR="00527A6F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Член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и адміністрації використовують 5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комп’ютерів.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У школі п</w:t>
      </w:r>
      <w:r w:rsidR="00C444F0" w:rsidRPr="00A479AA">
        <w:rPr>
          <w:rFonts w:ascii="Times New Roman" w:hAnsi="Times New Roman" w:cs="Times New Roman"/>
          <w:sz w:val="28"/>
          <w:szCs w:val="28"/>
          <w:lang w:val="uk-UA"/>
        </w:rPr>
        <w:t>рацюють 2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точки доступу до мережі Інтернет через Wi-Fi технології.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Стан забезпечення сучасною комп’ютерною технікою відображено в таблиці:</w:t>
      </w:r>
    </w:p>
    <w:tbl>
      <w:tblPr>
        <w:tblW w:w="937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7505"/>
        <w:gridCol w:w="992"/>
      </w:tblGrid>
      <w:tr w:rsidR="00913C53" w:rsidRPr="00A479AA" w:rsidTr="00C444F0">
        <w:trPr>
          <w:tblCellSpacing w:w="15" w:type="dxa"/>
        </w:trPr>
        <w:tc>
          <w:tcPr>
            <w:tcW w:w="837" w:type="dxa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7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ПК у закладі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653F0E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них: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місця учнів в кабінеті інформатики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C444F0"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Робоче місце учителя інформатики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8368C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місця адміністрації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C444F0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Робочі місця учителів – </w:t>
            </w:r>
            <w:proofErr w:type="spellStart"/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психолога, педагога-організатора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C444F0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C53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Читальний зал бібліотеки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C444F0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8368C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Сканери та БФП (</w:t>
            </w:r>
            <w:proofErr w:type="spellStart"/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принтер+сканер+ксерокс</w:t>
            </w:r>
            <w:proofErr w:type="spellEnd"/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8368C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комплекси (інтерактивна дошка, проектор)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653F0E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Локальна мережа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74%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ПК, що підключені до мережі Інтернет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653F0E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41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на один ПК в кабінетах інформатики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на один ПК в закладі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653F0E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913C53" w:rsidRPr="00A479AA" w:rsidTr="00C444F0">
        <w:trPr>
          <w:tblCellSpacing w:w="15" w:type="dxa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47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913C53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Проектори</w:t>
            </w:r>
          </w:p>
        </w:tc>
        <w:tc>
          <w:tcPr>
            <w:tcW w:w="947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4CBC" w:rsidRPr="00A479AA" w:rsidRDefault="00653F0E" w:rsidP="00913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913C53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Доступ закладу до мережі Інтернет надається провайдером «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» зі швидкістю 10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Мбіт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>/с.</w:t>
      </w:r>
    </w:p>
    <w:p w:rsidR="00653F0E" w:rsidRDefault="00653F0E" w:rsidP="00913C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C53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Завдяки підключенню до мережі Інтернет заклад здійснює електронний документообіг з Департаментом освіти, міським методичним кабінетом, іншими загальноосвітніми закладами.</w:t>
      </w:r>
    </w:p>
    <w:p w:rsidR="00495F34" w:rsidRPr="00A479AA" w:rsidRDefault="003B7304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стандартів початкової освіти «НУШ»,  1-2 класи повністю забезпечені необхідним матеріально-технічним обладнанням.</w:t>
      </w:r>
    </w:p>
    <w:p w:rsidR="00527A6F" w:rsidRPr="00A479AA" w:rsidRDefault="00913C53" w:rsidP="00527A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Електронна адреса закладу: </w:t>
      </w:r>
      <w:hyperlink r:id="rId8" w:history="1">
        <w:r w:rsidR="00527A6F" w:rsidRPr="00A479A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mega.shkola15@ukr.net</w:t>
        </w:r>
      </w:hyperlink>
    </w:p>
    <w:p w:rsidR="00527A6F" w:rsidRPr="00A479AA" w:rsidRDefault="00913C53" w:rsidP="00527A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Сайт закладу: 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megashkola15.wixsite.com/school15mariupol/</w:t>
      </w:r>
      <w:proofErr w:type="spellStart"/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golovna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   </w:t>
      </w:r>
    </w:p>
    <w:p w:rsidR="00913C53" w:rsidRPr="00A479AA" w:rsidRDefault="00913C53" w:rsidP="00527A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діяльності комунального закладу «Загально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освітня школа І-ІІІ ступенів №15 Маріупольської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 в процесі інформатизації є: інформаційно-технічне забезпечення школи; підвищення компетентності вчителів і учнів в області сучасних інформаційних технологій; інформатизація навчально-виховного процесу в школі; моніторинг якості освіти; розвиток шкільної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медіатеки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, віртуальної бібліотеки; розширення локальної мережі школи, участь в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- проектах; електронний документообіг; використання інформаційних технологій в освітній статистичній звітності.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Ка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бінет фізики забезпечений на 50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% необхідним обладнанням для виконання демонстраційних дослідів, лабораторних робіт та фізичного практикуму. 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br/>
        <w:t>   Кабінет хімії забезпечений н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а 6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5% обладнанням та реактивними для викона</w:t>
      </w:r>
      <w:r w:rsidR="00527A6F" w:rsidRPr="00A479AA">
        <w:rPr>
          <w:rFonts w:ascii="Times New Roman" w:hAnsi="Times New Roman" w:cs="Times New Roman"/>
          <w:sz w:val="28"/>
          <w:szCs w:val="28"/>
          <w:lang w:val="uk-UA"/>
        </w:rPr>
        <w:t>ння практичної частини програми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A6F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Кожен навчальний кабінет має паспорт,</w:t>
      </w:r>
      <w:r w:rsidRPr="00A479A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в якому відображені загальні санітарно-гігієнічні умови приміщення кабінету, організація робочих місць, режим роботи кабінету, перелік методичної літератури, дидактичний та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наочні посібники та технічне обладнання, постійні і змінні експозиції, в більшості кабінетів систематизовано навчально-методичне забезпечення.     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br/>
        <w:t>   Всі кабінети, де проводяться навчальні заняття, відповідають Положенню про навчальні кабінети загальноосвітніх навчальних закладів, яке затверджене наказом МОН України за № 601 від 20.07.2004 р., Державним санітарним правилам і нормам влаштування, утримання загальноосвітніх навчальних закладів та організації навчально-виховного процесу, які погоджені листом МОН України від 05.06.2001 р. за № 1/12-1459 та затверджені Постановою Головного державного санітарного лікаря України від 14.08.2001 р. за № 63, в них створені необхідні умови для занять.         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Навчально-методичне забезпечення дозволяє в повному  обсязі виконувати навчальні програми, за якими працює колектив учителів.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На першому поверсі закладу розміщено:</w:t>
      </w:r>
    </w:p>
    <w:p w:rsidR="00913C53" w:rsidRPr="00A479AA" w:rsidRDefault="00913C53" w:rsidP="00913C5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куточок з охорони праці;</w:t>
      </w:r>
    </w:p>
    <w:p w:rsidR="00913C53" w:rsidRPr="00A479AA" w:rsidRDefault="00913C53" w:rsidP="00913C5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виставка робіт учнів «Ми працю любимо, що в творчість перейшла»;</w:t>
      </w:r>
    </w:p>
    <w:p w:rsidR="00913C53" w:rsidRPr="00A479AA" w:rsidRDefault="00913C53" w:rsidP="00913C5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інформаційно-довідковий куточок з Цивільного захисту;</w:t>
      </w:r>
    </w:p>
    <w:p w:rsidR="00913C53" w:rsidRPr="00A479AA" w:rsidRDefault="00913C53" w:rsidP="00913C5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виставка малюнків учнів «Казкове дитинство»;</w:t>
      </w:r>
    </w:p>
    <w:p w:rsidR="00913C53" w:rsidRPr="00A479AA" w:rsidRDefault="00913C53" w:rsidP="00913C53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стенд початкової школи «Пізнаємо, вчимося, творимо».</w:t>
      </w:r>
    </w:p>
    <w:p w:rsidR="00913C53" w:rsidRPr="00A479AA" w:rsidRDefault="00913C53" w:rsidP="00913C53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інформаційні стенди «Школа – простір життя дитини»,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«Шкільна родина»,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«ЗНО/ДПА», «Інформація для учнів», «Сім’я, дитина, виховання»;</w:t>
      </w:r>
    </w:p>
    <w:p w:rsidR="00913C53" w:rsidRPr="00A479AA" w:rsidRDefault="00913C53" w:rsidP="00913C53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стенди «Ми – майбутнє твоє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, Україно»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68C3" w:rsidRPr="00A479AA" w:rsidRDefault="008368C3" w:rsidP="008368C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На четвертому поверсі закладу знаходяться:</w:t>
      </w:r>
    </w:p>
    <w:p w:rsidR="008368C3" w:rsidRPr="00A479AA" w:rsidRDefault="008368C3" w:rsidP="008368C3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Музей історії школи.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На високому рівні оформлені інформаційні стенди в учительській.      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br/>
        <w:t xml:space="preserve">    У закладі працює бібліотека, </w:t>
      </w:r>
      <w:r w:rsidR="00737A1B" w:rsidRPr="00A479AA">
        <w:rPr>
          <w:rFonts w:ascii="Times New Roman" w:hAnsi="Times New Roman" w:cs="Times New Roman"/>
          <w:sz w:val="28"/>
          <w:szCs w:val="28"/>
          <w:lang w:val="uk-UA"/>
        </w:rPr>
        <w:t>яка в своєму складі має читальний клас, кімната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видачі та зберігання літератури. 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Бібліотечно-бібліографічний фонд бібліот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еки закладу станом на 01.09.2019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року нараховує 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47713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земпляр.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З них основний бібліотечний фонд (без урахування підручників) становит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ь 18329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примірники.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Мовний склад основного бібліотечного фонду:</w:t>
      </w:r>
    </w:p>
    <w:p w:rsidR="00913C53" w:rsidRPr="00A479AA" w:rsidRDefault="003B7304" w:rsidP="00913C5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книги українською мовою    – 8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>2%;</w:t>
      </w:r>
    </w:p>
    <w:p w:rsidR="00913C53" w:rsidRPr="00A479AA" w:rsidRDefault="003B7304" w:rsidP="00913C5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книги російською мовою      – 1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>0%;</w:t>
      </w:r>
    </w:p>
    <w:p w:rsidR="00913C53" w:rsidRPr="00A479AA" w:rsidRDefault="00913C53" w:rsidP="00913C5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книги англійською мовою    – 5%;</w:t>
      </w:r>
    </w:p>
    <w:p w:rsidR="00913C53" w:rsidRPr="00A479AA" w:rsidRDefault="00913C53" w:rsidP="00913C53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 книги </w:t>
      </w:r>
      <w:r w:rsidR="003B7304" w:rsidRPr="00A479AA">
        <w:rPr>
          <w:rFonts w:ascii="Times New Roman" w:hAnsi="Times New Roman" w:cs="Times New Roman"/>
          <w:sz w:val="28"/>
          <w:szCs w:val="28"/>
          <w:lang w:val="uk-UA"/>
        </w:rPr>
        <w:t>французькою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мовою       – 3%.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   Фонд підручників нараховує  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29384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екземпляр.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Забезпечення учнів  підручниками складає  90%.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Зазначена навчально-методична та довідкова література  використовується за призначенням.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Забезпечення  учнів та педагогічних праці</w:t>
      </w:r>
      <w:r w:rsidR="002B4C32" w:rsidRPr="00A479AA">
        <w:rPr>
          <w:rFonts w:ascii="Times New Roman" w:hAnsi="Times New Roman" w:cs="Times New Roman"/>
          <w:sz w:val="28"/>
          <w:szCs w:val="28"/>
          <w:lang w:val="uk-UA"/>
        </w:rPr>
        <w:t>вників навчальною літературою 15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,45 </w:t>
      </w:r>
      <w:proofErr w:type="spellStart"/>
      <w:r w:rsidRPr="00A479AA">
        <w:rPr>
          <w:rFonts w:ascii="Times New Roman" w:hAnsi="Times New Roman" w:cs="Times New Roman"/>
          <w:sz w:val="28"/>
          <w:szCs w:val="28"/>
          <w:lang w:val="uk-UA"/>
        </w:rPr>
        <w:t>екз</w:t>
      </w:r>
      <w:proofErr w:type="spellEnd"/>
      <w:r w:rsidRPr="00A479AA">
        <w:rPr>
          <w:rFonts w:ascii="Times New Roman" w:hAnsi="Times New Roman" w:cs="Times New Roman"/>
          <w:sz w:val="28"/>
          <w:szCs w:val="28"/>
          <w:lang w:val="uk-UA"/>
        </w:rPr>
        <w:t>. на 1 особу.</w:t>
      </w:r>
    </w:p>
    <w:p w:rsidR="00913C53" w:rsidRPr="00A479AA" w:rsidRDefault="00737A1B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 У закладі є 8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туалетів загальною площею 35,3 м</w:t>
      </w:r>
      <w:r w:rsidR="00913C53" w:rsidRPr="00A479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.  (1 туалет для дівчат (на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>кабінки з дверцята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ми), 1 туалети для хлопців (на 3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кабінки з дверцятами), 2 туалети для педагогічних працівників,. Якість ремонту вбиралень – достатня.</w:t>
      </w:r>
    </w:p>
    <w:p w:rsidR="00913C53" w:rsidRPr="00A479AA" w:rsidRDefault="00737A1B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 З 2018</w:t>
      </w:r>
      <w:r w:rsidR="00913C53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року адміністрацією школи розроблено та реалізовано програму по проведенню капітальних, поточних ремонтів шкільного приміщення, обладнання та естетичного оформлення закладу.</w:t>
      </w:r>
    </w:p>
    <w:p w:rsidR="00913C53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В школі проведено велику організаторську роботу по естетичному оформленню коридорів, класних кімнат, навчальних та адміністративних кабінетів, їдальні, рекреацій, влучно підібрано кольорову гаму. В закладі чітко простежується єдиний підхід до оформлення всього приміщення школи.</w:t>
      </w:r>
    </w:p>
    <w:p w:rsidR="00737A1B" w:rsidRPr="00A479AA" w:rsidRDefault="00913C53" w:rsidP="00913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>   Будівля та майно закладу належить до комунальної власності тери</w:t>
      </w:r>
      <w:r w:rsidR="00737A1B" w:rsidRPr="00A479AA">
        <w:rPr>
          <w:rFonts w:ascii="Times New Roman" w:hAnsi="Times New Roman" w:cs="Times New Roman"/>
          <w:sz w:val="28"/>
          <w:szCs w:val="28"/>
          <w:lang w:val="uk-UA"/>
        </w:rPr>
        <w:t>торіальної громади міста Маріуполь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>, знаходиться на балансі закладу та належить йому на правах оперативного управління.</w:t>
      </w:r>
    </w:p>
    <w:p w:rsidR="002F3922" w:rsidRPr="00A479AA" w:rsidRDefault="002B4C32" w:rsidP="002F39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3922" w:rsidRPr="00A479AA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737A1B" w:rsidRPr="00A479AA">
        <w:rPr>
          <w:noProof/>
          <w:lang w:eastAsia="ru-RU"/>
        </w:rPr>
        <w:drawing>
          <wp:inline distT="0" distB="0" distL="0" distR="0">
            <wp:extent cx="4285768" cy="2638425"/>
            <wp:effectExtent l="95250" t="95250" r="95732" b="104775"/>
            <wp:docPr id="10" name="Рисунок 10" descr="На изображении может находиться: один или несколько человек, люди стоят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один или несколько человек, люди стоят и на улиц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76" cy="26384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4D3E" w:rsidRPr="00A479AA" w:rsidRDefault="002B4C32" w:rsidP="002F39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5959"/>
            <wp:effectExtent l="76200" t="76200" r="123825" b="83791"/>
            <wp:docPr id="5" name="Рисунок 11" descr="https://scontent.fiev7-1.fna.fbcdn.net/v/t1.0-0/p200x200/82087149_2391147744324910_207276367245475840_n.jpg?_nc_cat=106&amp;_nc_sid=5676ae&amp;_nc_ohc=gHHHCc9GE3kAX_emXd3&amp;_nc_ht=scontent.fiev7-1.fna&amp;_nc_tp=6&amp;oh=8e2be33b8297b7e7d4a58bc62525dfa8&amp;oe=5EF0C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7-1.fna.fbcdn.net/v/t1.0-0/p200x200/82087149_2391147744324910_207276367245475840_n.jpg?_nc_cat=106&amp;_nc_sid=5676ae&amp;_nc_ohc=gHHHCc9GE3kAX_emXd3&amp;_nc_ht=scontent.fiev7-1.fna&amp;_nc_tp=6&amp;oh=8e2be33b8297b7e7d4a58bc62525dfa8&amp;oe=5EF0C2A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50" cy="1725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79AA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79AA" w:rsidRPr="00A4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262" cy="1800949"/>
            <wp:effectExtent l="209550" t="171450" r="195538" b="180251"/>
            <wp:docPr id="15" name="Рисунок 12" descr="https://scontent.fiev7-1.fna.fbcdn.net/v/t1.0-0/p200x200/73333415_2222328301206856_5307352321015939072_n.jpg?_nc_cat=102&amp;_nc_sid=5676ae&amp;_nc_ohc=xQAQ6Ae97nMAX8rt3tH&amp;_nc_ht=scontent.fiev7-1.fna&amp;_nc_tp=6&amp;oh=c3cbde3064ee765801a94115b956eeda&amp;oe=5EF0B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iev7-1.fna.fbcdn.net/v/t1.0-0/p200x200/73333415_2222328301206856_5307352321015939072_n.jpg?_nc_cat=102&amp;_nc_sid=5676ae&amp;_nc_ohc=xQAQ6Ae97nMAX8rt3tH&amp;_nc_ht=scontent.fiev7-1.fna&amp;_nc_tp=6&amp;oh=c3cbde3064ee765801a94115b956eeda&amp;oe=5EF0BF0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583">
                      <a:off x="0" y="0"/>
                      <a:ext cx="2399603" cy="1804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479AA"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A479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25DE0" w:rsidRPr="00A479AA">
        <w:rPr>
          <w:lang w:val="uk-UA"/>
        </w:rPr>
        <w:t xml:space="preserve"> </w:t>
      </w:r>
      <w:r w:rsidRPr="00A479AA">
        <w:rPr>
          <w:lang w:val="uk-UA"/>
        </w:rPr>
        <w:t xml:space="preserve">                                </w:t>
      </w:r>
      <w:bookmarkStart w:id="0" w:name="_GoBack"/>
      <w:bookmarkEnd w:id="0"/>
    </w:p>
    <w:sectPr w:rsidR="008C4D3E" w:rsidRPr="00A479AA" w:rsidSect="003B7304">
      <w:pgSz w:w="11906" w:h="16838"/>
      <w:pgMar w:top="1134" w:right="850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0EF"/>
    <w:multiLevelType w:val="multilevel"/>
    <w:tmpl w:val="176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A0CAA"/>
    <w:multiLevelType w:val="multilevel"/>
    <w:tmpl w:val="269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A454F"/>
    <w:multiLevelType w:val="multilevel"/>
    <w:tmpl w:val="658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73D09"/>
    <w:multiLevelType w:val="multilevel"/>
    <w:tmpl w:val="98B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D6964"/>
    <w:multiLevelType w:val="multilevel"/>
    <w:tmpl w:val="BEEA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2647"/>
    <w:multiLevelType w:val="multilevel"/>
    <w:tmpl w:val="58E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0112A"/>
    <w:multiLevelType w:val="multilevel"/>
    <w:tmpl w:val="5F6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0976"/>
    <w:multiLevelType w:val="multilevel"/>
    <w:tmpl w:val="4498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01B1A"/>
    <w:multiLevelType w:val="multilevel"/>
    <w:tmpl w:val="B70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E01B0"/>
    <w:multiLevelType w:val="multilevel"/>
    <w:tmpl w:val="C68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2233E"/>
    <w:multiLevelType w:val="multilevel"/>
    <w:tmpl w:val="60DE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33079"/>
    <w:multiLevelType w:val="multilevel"/>
    <w:tmpl w:val="AC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F2A02"/>
    <w:multiLevelType w:val="multilevel"/>
    <w:tmpl w:val="760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E79EB"/>
    <w:multiLevelType w:val="multilevel"/>
    <w:tmpl w:val="1E5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F7DAF"/>
    <w:multiLevelType w:val="multilevel"/>
    <w:tmpl w:val="DAF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3B9"/>
    <w:multiLevelType w:val="multilevel"/>
    <w:tmpl w:val="393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F491F"/>
    <w:multiLevelType w:val="multilevel"/>
    <w:tmpl w:val="D62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10D1A"/>
    <w:multiLevelType w:val="multilevel"/>
    <w:tmpl w:val="AEA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C5F77"/>
    <w:multiLevelType w:val="multilevel"/>
    <w:tmpl w:val="3F2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13E03"/>
    <w:multiLevelType w:val="multilevel"/>
    <w:tmpl w:val="88D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9"/>
  </w:num>
  <w:num w:numId="6">
    <w:abstractNumId w:val="0"/>
  </w:num>
  <w:num w:numId="7">
    <w:abstractNumId w:val="1"/>
  </w:num>
  <w:num w:numId="8">
    <w:abstractNumId w:val="8"/>
    <w:lvlOverride w:ilvl="0">
      <w:startOverride w:val="2"/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12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9C6263"/>
    <w:rsid w:val="000C698D"/>
    <w:rsid w:val="001A7963"/>
    <w:rsid w:val="001C1883"/>
    <w:rsid w:val="001D0395"/>
    <w:rsid w:val="002307B4"/>
    <w:rsid w:val="00262066"/>
    <w:rsid w:val="002B4C32"/>
    <w:rsid w:val="002F3922"/>
    <w:rsid w:val="003B7304"/>
    <w:rsid w:val="003F7F3E"/>
    <w:rsid w:val="00495F34"/>
    <w:rsid w:val="004C1C55"/>
    <w:rsid w:val="00527A6F"/>
    <w:rsid w:val="00584E14"/>
    <w:rsid w:val="005906C5"/>
    <w:rsid w:val="005B46E0"/>
    <w:rsid w:val="00606F35"/>
    <w:rsid w:val="00653F0E"/>
    <w:rsid w:val="006600A3"/>
    <w:rsid w:val="006A10B9"/>
    <w:rsid w:val="006F55F2"/>
    <w:rsid w:val="00725DE0"/>
    <w:rsid w:val="00726C02"/>
    <w:rsid w:val="00737A1B"/>
    <w:rsid w:val="007820FA"/>
    <w:rsid w:val="0081729D"/>
    <w:rsid w:val="008368C3"/>
    <w:rsid w:val="008A113E"/>
    <w:rsid w:val="008C4D3E"/>
    <w:rsid w:val="008F6876"/>
    <w:rsid w:val="00905C64"/>
    <w:rsid w:val="00913C53"/>
    <w:rsid w:val="009C6263"/>
    <w:rsid w:val="00A479AA"/>
    <w:rsid w:val="00A95160"/>
    <w:rsid w:val="00AB22AF"/>
    <w:rsid w:val="00B17A27"/>
    <w:rsid w:val="00BC4B2B"/>
    <w:rsid w:val="00C444F0"/>
    <w:rsid w:val="00CB0FB8"/>
    <w:rsid w:val="00D668A0"/>
    <w:rsid w:val="00D72D2F"/>
    <w:rsid w:val="00EB02FC"/>
    <w:rsid w:val="00F214A6"/>
    <w:rsid w:val="00F2277F"/>
    <w:rsid w:val="00F34B94"/>
    <w:rsid w:val="00F64CBC"/>
    <w:rsid w:val="00FC0385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22"/>
    <w:rPr>
      <w:color w:val="0000FF" w:themeColor="hyperlink"/>
      <w:u w:val="single"/>
    </w:rPr>
  </w:style>
  <w:style w:type="paragraph" w:styleId="a4">
    <w:name w:val="No Spacing"/>
    <w:uiPriority w:val="1"/>
    <w:qFormat/>
    <w:rsid w:val="002F3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C188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3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922"/>
    <w:rPr>
      <w:color w:val="0000FF" w:themeColor="hyperlink"/>
      <w:u w:val="single"/>
    </w:rPr>
  </w:style>
  <w:style w:type="paragraph" w:styleId="a4">
    <w:name w:val="No Spacing"/>
    <w:uiPriority w:val="1"/>
    <w:qFormat/>
    <w:rsid w:val="002F3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C18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1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945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shkola15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9FE5-78FE-440C-A99C-DF768CE1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n.livintceva@ukr.net</dc:creator>
  <cp:keywords/>
  <dc:description/>
  <cp:lastModifiedBy>школа15 мсмаасоневанп/</cp:lastModifiedBy>
  <cp:revision>9</cp:revision>
  <dcterms:created xsi:type="dcterms:W3CDTF">2020-05-25T17:16:00Z</dcterms:created>
  <dcterms:modified xsi:type="dcterms:W3CDTF">2020-05-26T07:33:00Z</dcterms:modified>
</cp:coreProperties>
</file>