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7E9B" w14:textId="11C0F708" w:rsidR="00F20F10" w:rsidRPr="00F20F10" w:rsidRDefault="00F20F10" w:rsidP="00441D40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 w:rsidRPr="00F20F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Порядок реагування на доведені випадки </w:t>
      </w:r>
      <w:proofErr w:type="spellStart"/>
      <w:r w:rsidRPr="00F20F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булінгу</w:t>
      </w:r>
      <w:proofErr w:type="spellEnd"/>
      <w:r w:rsidRPr="00F20F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(цькування) в</w:t>
      </w:r>
      <w:r w:rsidRPr="00441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uk-UA"/>
        </w:rPr>
        <w:t xml:space="preserve"> </w:t>
      </w:r>
      <w:proofErr w:type="spellStart"/>
      <w:r w:rsidRPr="00441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uk-UA"/>
        </w:rPr>
        <w:t>Матківському</w:t>
      </w:r>
      <w:proofErr w:type="spellEnd"/>
      <w:r w:rsidRPr="00441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uk-UA"/>
        </w:rPr>
        <w:t xml:space="preserve"> ЗЗСО І-ІІ ст.  </w:t>
      </w:r>
      <w:proofErr w:type="spellStart"/>
      <w:r w:rsidRPr="00441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uk-UA"/>
        </w:rPr>
        <w:t>імені</w:t>
      </w:r>
      <w:proofErr w:type="spellEnd"/>
      <w:r w:rsidRPr="00441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uk-UA"/>
        </w:rPr>
        <w:t xml:space="preserve"> </w:t>
      </w:r>
      <w:proofErr w:type="spellStart"/>
      <w:r w:rsidRPr="00441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uk-UA"/>
        </w:rPr>
        <w:t>Валерія</w:t>
      </w:r>
      <w:proofErr w:type="spellEnd"/>
      <w:r w:rsidRPr="00441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uk-UA"/>
        </w:rPr>
        <w:t xml:space="preserve"> </w:t>
      </w:r>
      <w:proofErr w:type="spellStart"/>
      <w:r w:rsidRPr="00441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uk-UA"/>
        </w:rPr>
        <w:t>Марціва</w:t>
      </w:r>
      <w:proofErr w:type="spellEnd"/>
    </w:p>
    <w:p w14:paraId="7A45BD2A" w14:textId="77777777" w:rsidR="00F20F10" w:rsidRPr="00441D40" w:rsidRDefault="00F20F10" w:rsidP="00441D40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30C218" w14:textId="0A684069" w:rsidR="00F20F10" w:rsidRPr="00F20F10" w:rsidRDefault="00AE75A1" w:rsidP="00441D40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1D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F20F10" w:rsidRPr="00F20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питання</w:t>
      </w:r>
    </w:p>
    <w:p w14:paraId="2492FEFE" w14:textId="7D76A236" w:rsidR="00F20F10" w:rsidRPr="00F20F10" w:rsidRDefault="00F20F10" w:rsidP="00441D40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0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AE75A1" w:rsidRPr="00441D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AE75A1" w:rsidRPr="00441D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Порядок розроблено відповідно до наказу МОН від 28.12.2019 № 1646 «Деякі питання реагування на випадки </w:t>
      </w:r>
      <w:proofErr w:type="spellStart"/>
      <w:r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та застосування заходів виховного впливу в закладах освіти».</w:t>
      </w:r>
    </w:p>
    <w:p w14:paraId="364D1BE2" w14:textId="1B4878F0" w:rsidR="00F20F10" w:rsidRPr="00F20F10" w:rsidRDefault="00AE75A1" w:rsidP="00441D40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F20F10" w:rsidRPr="00F20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F20F10"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Порядок визначає процедуру подання та розгляду заяв про випадки </w:t>
      </w:r>
      <w:proofErr w:type="spellStart"/>
      <w:r w:rsidR="00F20F10"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="00F20F10"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(цькуванню).</w:t>
      </w:r>
    </w:p>
    <w:p w14:paraId="47337D20" w14:textId="2B4BD163" w:rsidR="00F20F10" w:rsidRPr="00F20F10" w:rsidRDefault="00AE75A1" w:rsidP="00441D40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F20F10" w:rsidRPr="00F20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="00F20F10"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Заявниками можуть бути здобувачі освіти, їх батьки/законні представники, працівники та педагогічні працівники </w:t>
      </w:r>
      <w:proofErr w:type="spellStart"/>
      <w:r w:rsidR="00F20F10"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>щколи</w:t>
      </w:r>
      <w:proofErr w:type="spellEnd"/>
      <w:r w:rsidR="00F20F10"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інші особи.</w:t>
      </w:r>
    </w:p>
    <w:p w14:paraId="1D540E2B" w14:textId="06FC4E1D" w:rsidR="00F20F10" w:rsidRPr="00441D40" w:rsidRDefault="00AE75A1" w:rsidP="00441D40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F20F10" w:rsidRPr="00F20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="00F20F10" w:rsidRPr="00F20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Заявник забезпечує достовірність та повноту наданої інформації.</w:t>
      </w:r>
    </w:p>
    <w:p w14:paraId="7C4DCB1F" w14:textId="6CF4F067" w:rsidR="00F20F10" w:rsidRPr="00441D40" w:rsidRDefault="00AE75A1" w:rsidP="00441D40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1D40">
        <w:rPr>
          <w:b/>
          <w:bCs/>
          <w:sz w:val="28"/>
          <w:szCs w:val="28"/>
        </w:rPr>
        <w:t>1.</w:t>
      </w:r>
      <w:r w:rsidR="00F20F10" w:rsidRPr="00441D40">
        <w:rPr>
          <w:b/>
          <w:bCs/>
          <w:sz w:val="28"/>
          <w:szCs w:val="28"/>
        </w:rPr>
        <w:t>5.</w:t>
      </w:r>
      <w:r w:rsidR="00F20F10" w:rsidRPr="00441D40">
        <w:rPr>
          <w:sz w:val="28"/>
          <w:szCs w:val="28"/>
        </w:rPr>
        <w:t xml:space="preserve"> Терміни, використані у цьому Порядку, вживаються у таких значеннях:</w:t>
      </w:r>
    </w:p>
    <w:p w14:paraId="4F766E21" w14:textId="77777777" w:rsidR="00F20F10" w:rsidRPr="00441D40" w:rsidRDefault="00F20F10" w:rsidP="00441D4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0" w:name="n20"/>
      <w:bookmarkEnd w:id="0"/>
      <w:r w:rsidRPr="00441D40">
        <w:rPr>
          <w:sz w:val="28"/>
          <w:szCs w:val="28"/>
        </w:rPr>
        <w:t>кривдник (</w:t>
      </w:r>
      <w:proofErr w:type="spellStart"/>
      <w:r w:rsidRPr="00441D40">
        <w:rPr>
          <w:sz w:val="28"/>
          <w:szCs w:val="28"/>
        </w:rPr>
        <w:t>булер</w:t>
      </w:r>
      <w:proofErr w:type="spellEnd"/>
      <w:r w:rsidRPr="00441D40">
        <w:rPr>
          <w:sz w:val="28"/>
          <w:szCs w:val="28"/>
        </w:rPr>
        <w:t xml:space="preserve">) - учасник освітнього процесу, в тому числі малолітня чи неповнолітня особа, яка вчиняє </w:t>
      </w:r>
      <w:proofErr w:type="spellStart"/>
      <w:r w:rsidRPr="00441D40">
        <w:rPr>
          <w:sz w:val="28"/>
          <w:szCs w:val="28"/>
        </w:rPr>
        <w:t>булінг</w:t>
      </w:r>
      <w:proofErr w:type="spellEnd"/>
      <w:r w:rsidRPr="00441D40">
        <w:rPr>
          <w:sz w:val="28"/>
          <w:szCs w:val="28"/>
        </w:rPr>
        <w:t xml:space="preserve"> (цькування) щодо іншого учасника освітнього процесу;</w:t>
      </w:r>
    </w:p>
    <w:p w14:paraId="0D6BCA39" w14:textId="77777777" w:rsidR="00F20F10" w:rsidRPr="00441D40" w:rsidRDefault="00F20F10" w:rsidP="00441D4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21"/>
      <w:bookmarkEnd w:id="1"/>
      <w:r w:rsidRPr="00441D40">
        <w:rPr>
          <w:sz w:val="28"/>
          <w:szCs w:val="28"/>
        </w:rPr>
        <w:t xml:space="preserve">потерпілий (жертва </w:t>
      </w:r>
      <w:proofErr w:type="spellStart"/>
      <w:r w:rsidRPr="00441D40">
        <w:rPr>
          <w:sz w:val="28"/>
          <w:szCs w:val="28"/>
        </w:rPr>
        <w:t>булінгу</w:t>
      </w:r>
      <w:proofErr w:type="spellEnd"/>
      <w:r w:rsidRPr="00441D40">
        <w:rPr>
          <w:sz w:val="28"/>
          <w:szCs w:val="28"/>
        </w:rPr>
        <w:t xml:space="preserve">) - учасник освітнього процесу, в тому числі малолітня чи неповнолітня особа, щодо якої було вчинено </w:t>
      </w:r>
      <w:proofErr w:type="spellStart"/>
      <w:r w:rsidRPr="00441D40">
        <w:rPr>
          <w:sz w:val="28"/>
          <w:szCs w:val="28"/>
        </w:rPr>
        <w:t>булінг</w:t>
      </w:r>
      <w:proofErr w:type="spellEnd"/>
      <w:r w:rsidRPr="00441D40">
        <w:rPr>
          <w:sz w:val="28"/>
          <w:szCs w:val="28"/>
        </w:rPr>
        <w:t xml:space="preserve"> (цькування);</w:t>
      </w:r>
    </w:p>
    <w:p w14:paraId="7B39A533" w14:textId="77777777" w:rsidR="00F20F10" w:rsidRPr="00441D40" w:rsidRDefault="00F20F10" w:rsidP="00441D4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22"/>
      <w:bookmarkEnd w:id="2"/>
      <w:r w:rsidRPr="00441D40">
        <w:rPr>
          <w:sz w:val="28"/>
          <w:szCs w:val="28"/>
        </w:rPr>
        <w:t xml:space="preserve">спостерігачі - свідки та (або) безпосередні очевидці випадку </w:t>
      </w:r>
      <w:proofErr w:type="spellStart"/>
      <w:r w:rsidRPr="00441D40">
        <w:rPr>
          <w:sz w:val="28"/>
          <w:szCs w:val="28"/>
        </w:rPr>
        <w:t>булінгу</w:t>
      </w:r>
      <w:proofErr w:type="spellEnd"/>
      <w:r w:rsidRPr="00441D40">
        <w:rPr>
          <w:sz w:val="28"/>
          <w:szCs w:val="28"/>
        </w:rPr>
        <w:t xml:space="preserve"> (цькування);</w:t>
      </w:r>
    </w:p>
    <w:p w14:paraId="6D839414" w14:textId="3DCAAE0E" w:rsidR="00F20F10" w:rsidRPr="00441D40" w:rsidRDefault="00F20F10" w:rsidP="00441D4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23"/>
      <w:bookmarkEnd w:id="3"/>
      <w:r w:rsidRPr="00441D40">
        <w:rPr>
          <w:sz w:val="28"/>
          <w:szCs w:val="28"/>
        </w:rPr>
        <w:t xml:space="preserve">сторони </w:t>
      </w:r>
      <w:proofErr w:type="spellStart"/>
      <w:r w:rsidRPr="00441D40">
        <w:rPr>
          <w:sz w:val="28"/>
          <w:szCs w:val="28"/>
        </w:rPr>
        <w:t>булінгу</w:t>
      </w:r>
      <w:proofErr w:type="spellEnd"/>
      <w:r w:rsidRPr="00441D40">
        <w:rPr>
          <w:sz w:val="28"/>
          <w:szCs w:val="28"/>
        </w:rPr>
        <w:t xml:space="preserve"> (цькування) - безпосередні учасники випадку: кривдник (</w:t>
      </w:r>
      <w:proofErr w:type="spellStart"/>
      <w:r w:rsidRPr="00441D40">
        <w:rPr>
          <w:sz w:val="28"/>
          <w:szCs w:val="28"/>
        </w:rPr>
        <w:t>булер</w:t>
      </w:r>
      <w:proofErr w:type="spellEnd"/>
      <w:r w:rsidRPr="00441D40">
        <w:rPr>
          <w:sz w:val="28"/>
          <w:szCs w:val="28"/>
        </w:rPr>
        <w:t xml:space="preserve">), потерпілий (жертва </w:t>
      </w:r>
      <w:proofErr w:type="spellStart"/>
      <w:r w:rsidRPr="00441D40">
        <w:rPr>
          <w:sz w:val="28"/>
          <w:szCs w:val="28"/>
        </w:rPr>
        <w:t>булінгу</w:t>
      </w:r>
      <w:proofErr w:type="spellEnd"/>
      <w:r w:rsidRPr="00441D40">
        <w:rPr>
          <w:sz w:val="28"/>
          <w:szCs w:val="28"/>
        </w:rPr>
        <w:t>), спостерігачі (за наявності).</w:t>
      </w:r>
    </w:p>
    <w:p w14:paraId="1ED2442B" w14:textId="32D1B58A" w:rsidR="00AE75A1" w:rsidRPr="00F20F10" w:rsidRDefault="00AE75A1" w:rsidP="00441D40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441D4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2</w:t>
      </w:r>
      <w:r w:rsidR="00441D40" w:rsidRPr="00441D4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.</w:t>
      </w:r>
      <w:r w:rsidRPr="00441D4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Pr="00441D40">
        <w:rPr>
          <w:rFonts w:ascii="Times New Roman" w:hAnsi="Times New Roman" w:cs="Times New Roman"/>
          <w:b/>
          <w:bCs/>
          <w:sz w:val="32"/>
          <w:szCs w:val="32"/>
        </w:rPr>
        <w:t xml:space="preserve">Порядок реагування закладу освіти на випадки </w:t>
      </w:r>
      <w:proofErr w:type="spellStart"/>
      <w:r w:rsidRPr="00441D40">
        <w:rPr>
          <w:rFonts w:ascii="Times New Roman" w:hAnsi="Times New Roman" w:cs="Times New Roman"/>
          <w:b/>
          <w:bCs/>
          <w:sz w:val="32"/>
          <w:szCs w:val="32"/>
        </w:rPr>
        <w:t>булінгу</w:t>
      </w:r>
      <w:proofErr w:type="spellEnd"/>
      <w:r w:rsidRPr="00441D40">
        <w:rPr>
          <w:rFonts w:ascii="Times New Roman" w:hAnsi="Times New Roman" w:cs="Times New Roman"/>
          <w:b/>
          <w:bCs/>
          <w:sz w:val="32"/>
          <w:szCs w:val="32"/>
        </w:rPr>
        <w:t xml:space="preserve"> (цькування)</w:t>
      </w:r>
      <w:r w:rsidRPr="00441D4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. </w:t>
      </w:r>
    </w:p>
    <w:p w14:paraId="5F930732" w14:textId="4DE8BE83" w:rsidR="00C92F26" w:rsidRPr="00441D40" w:rsidRDefault="00C92F26" w:rsidP="00441D40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1D40">
        <w:rPr>
          <w:b/>
          <w:bCs/>
          <w:sz w:val="28"/>
          <w:szCs w:val="28"/>
        </w:rPr>
        <w:t>2.1</w:t>
      </w:r>
      <w:r w:rsidR="00051835" w:rsidRPr="00441D40">
        <w:rPr>
          <w:sz w:val="28"/>
          <w:szCs w:val="28"/>
        </w:rPr>
        <w:t xml:space="preserve"> Підставою для реагування в закладі освіти на випадки </w:t>
      </w:r>
      <w:proofErr w:type="spellStart"/>
      <w:r w:rsidR="00051835" w:rsidRPr="00441D40">
        <w:rPr>
          <w:sz w:val="28"/>
          <w:szCs w:val="28"/>
        </w:rPr>
        <w:t>булінгу</w:t>
      </w:r>
      <w:proofErr w:type="spellEnd"/>
      <w:r w:rsidR="00051835" w:rsidRPr="00441D40">
        <w:rPr>
          <w:sz w:val="28"/>
          <w:szCs w:val="28"/>
        </w:rPr>
        <w:t xml:space="preserve"> (цькування) є заява або повідомлення, про випадок  або підозру його вчинення. Із заявою можуть звернутися 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spellStart"/>
      <w:r w:rsidR="00051835" w:rsidRPr="00441D40">
        <w:rPr>
          <w:sz w:val="28"/>
          <w:szCs w:val="28"/>
        </w:rPr>
        <w:t>булінгу</w:t>
      </w:r>
      <w:proofErr w:type="spellEnd"/>
      <w:r w:rsidR="00051835" w:rsidRPr="00441D40">
        <w:rPr>
          <w:sz w:val="28"/>
          <w:szCs w:val="28"/>
        </w:rPr>
        <w:t xml:space="preserve"> (цькування), учасниками або свідками якого стали.  Повідомлення </w:t>
      </w:r>
      <w:r w:rsidR="0038262D" w:rsidRPr="00441D40">
        <w:rPr>
          <w:sz w:val="28"/>
          <w:szCs w:val="28"/>
        </w:rPr>
        <w:t xml:space="preserve">мають </w:t>
      </w:r>
      <w:r w:rsidR="00051835" w:rsidRPr="00441D40">
        <w:rPr>
          <w:sz w:val="28"/>
          <w:szCs w:val="28"/>
        </w:rPr>
        <w:t>бути в  письмовій формі, в тому числі із застосуванням засобів електронної комунікації (електронна пошта</w:t>
      </w:r>
      <w:r w:rsidR="0038262D" w:rsidRPr="00441D40">
        <w:rPr>
          <w:sz w:val="28"/>
          <w:szCs w:val="28"/>
          <w:lang w:val="ru-RU"/>
        </w:rPr>
        <w:t xml:space="preserve"> </w:t>
      </w:r>
      <w:r w:rsidR="0038262D" w:rsidRPr="00441D40">
        <w:rPr>
          <w:sz w:val="28"/>
          <w:szCs w:val="28"/>
        </w:rPr>
        <w:t xml:space="preserve">школи – </w:t>
      </w:r>
      <w:hyperlink r:id="rId5" w:history="1">
        <w:r w:rsidR="0038262D" w:rsidRPr="00441D40">
          <w:rPr>
            <w:rStyle w:val="a3"/>
            <w:color w:val="auto"/>
            <w:sz w:val="28"/>
            <w:szCs w:val="28"/>
            <w:lang w:val="en-US"/>
          </w:rPr>
          <w:t>matkivskiyzzso</w:t>
        </w:r>
        <w:r w:rsidR="0038262D" w:rsidRPr="00441D40">
          <w:rPr>
            <w:rStyle w:val="a3"/>
            <w:color w:val="auto"/>
            <w:sz w:val="28"/>
            <w:szCs w:val="28"/>
            <w:lang w:val="ru-RU"/>
          </w:rPr>
          <w:t>@</w:t>
        </w:r>
        <w:r w:rsidR="0038262D" w:rsidRPr="00441D40">
          <w:rPr>
            <w:rStyle w:val="a3"/>
            <w:color w:val="auto"/>
            <w:sz w:val="28"/>
            <w:szCs w:val="28"/>
            <w:lang w:val="en-US"/>
          </w:rPr>
          <w:t>gmail</w:t>
        </w:r>
        <w:r w:rsidR="0038262D" w:rsidRPr="00441D40">
          <w:rPr>
            <w:rStyle w:val="a3"/>
            <w:color w:val="auto"/>
            <w:sz w:val="28"/>
            <w:szCs w:val="28"/>
            <w:lang w:val="ru-RU"/>
          </w:rPr>
          <w:t>.</w:t>
        </w:r>
        <w:r w:rsidR="0038262D" w:rsidRPr="00441D40">
          <w:rPr>
            <w:rStyle w:val="a3"/>
            <w:color w:val="auto"/>
            <w:sz w:val="28"/>
            <w:szCs w:val="28"/>
            <w:lang w:val="en-US"/>
          </w:rPr>
          <w:t>com</w:t>
        </w:r>
      </w:hyperlink>
      <w:r w:rsidR="0038262D" w:rsidRPr="00441D40">
        <w:rPr>
          <w:sz w:val="28"/>
          <w:szCs w:val="28"/>
        </w:rPr>
        <w:t xml:space="preserve"> )</w:t>
      </w:r>
      <w:r w:rsidRPr="00441D40">
        <w:rPr>
          <w:sz w:val="28"/>
          <w:szCs w:val="28"/>
        </w:rPr>
        <w:t>. Зразок заяви додається</w:t>
      </w:r>
    </w:p>
    <w:p w14:paraId="4E327363" w14:textId="27CB7E03" w:rsidR="00AE75A1" w:rsidRPr="00AE75A1" w:rsidRDefault="00C92F26" w:rsidP="00441D40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1D40">
        <w:rPr>
          <w:b/>
          <w:bCs/>
          <w:sz w:val="28"/>
          <w:szCs w:val="28"/>
        </w:rPr>
        <w:t>2.2</w:t>
      </w:r>
      <w:r w:rsidR="00AE75A1" w:rsidRPr="00AE75A1">
        <w:rPr>
          <w:b/>
          <w:bCs/>
          <w:sz w:val="28"/>
          <w:szCs w:val="28"/>
        </w:rPr>
        <w:t>.</w:t>
      </w:r>
      <w:r w:rsidR="00AE75A1" w:rsidRPr="00AE75A1">
        <w:rPr>
          <w:sz w:val="28"/>
          <w:szCs w:val="28"/>
        </w:rPr>
        <w:t xml:space="preserve"> Прийом та реєстрацію поданих Заяв здійснює відповідальна особа, а в разі її відсутності – особисто директор школи або його заступник.</w:t>
      </w:r>
    </w:p>
    <w:p w14:paraId="00817EC0" w14:textId="1CD07950" w:rsidR="00AE75A1" w:rsidRPr="00AE75A1" w:rsidRDefault="00C92F26" w:rsidP="00441D40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2.3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Заяви реєструються в окремому журналі реєстрації заяв про випадки </w:t>
      </w:r>
      <w:proofErr w:type="spellStart"/>
      <w:r w:rsidR="00AE75A1" w:rsidRPr="00AE75A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="00AE75A1" w:rsidRPr="00AE7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(цькування).</w:t>
      </w:r>
    </w:p>
    <w:p w14:paraId="02E840CE" w14:textId="44A48AF9" w:rsidR="00AE75A1" w:rsidRPr="00441D40" w:rsidRDefault="00C92F26" w:rsidP="00441D40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2.4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  <w:lang w:eastAsia="uk-UA"/>
        </w:rPr>
        <w:t>. Форма та примірний зміст Заяви оприлюднюється на офіційному веб-сайті закладу.</w:t>
      </w:r>
    </w:p>
    <w:p w14:paraId="77745D87" w14:textId="4501EB91" w:rsidR="00C92F26" w:rsidRPr="00441D40" w:rsidRDefault="00C92F26" w:rsidP="00441D40">
      <w:pPr>
        <w:spacing w:after="2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D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2.5</w:t>
      </w:r>
      <w:r w:rsidRPr="00441D40">
        <w:rPr>
          <w:rFonts w:ascii="Times New Roman" w:hAnsi="Times New Roman" w:cs="Times New Roman"/>
          <w:sz w:val="28"/>
          <w:szCs w:val="28"/>
        </w:rPr>
        <w:t xml:space="preserve"> У день подання заяви видається наказ по закладу освіти про проведення розслідування із визначенням уповноважених осіб.</w:t>
      </w:r>
    </w:p>
    <w:p w14:paraId="3EA9CE9E" w14:textId="5F5CF27B" w:rsidR="003549AC" w:rsidRPr="00441D40" w:rsidRDefault="00C92F26" w:rsidP="00441D40">
      <w:pPr>
        <w:pStyle w:val="cdt4ke"/>
        <w:spacing w:before="210" w:beforeAutospacing="0" w:after="0" w:afterAutospacing="0"/>
        <w:jc w:val="both"/>
        <w:rPr>
          <w:sz w:val="28"/>
          <w:szCs w:val="28"/>
        </w:rPr>
      </w:pPr>
      <w:r w:rsidRPr="00441D40">
        <w:rPr>
          <w:b/>
          <w:bCs/>
          <w:sz w:val="28"/>
          <w:szCs w:val="28"/>
        </w:rPr>
        <w:t>2.6.</w:t>
      </w:r>
      <w:r w:rsidR="003549AC" w:rsidRPr="00441D40">
        <w:rPr>
          <w:sz w:val="28"/>
          <w:szCs w:val="28"/>
        </w:rPr>
        <w:t xml:space="preserve"> Комісія з розгляду випадків </w:t>
      </w:r>
      <w:proofErr w:type="spellStart"/>
      <w:r w:rsidR="003549AC" w:rsidRPr="00441D40">
        <w:rPr>
          <w:sz w:val="28"/>
          <w:szCs w:val="28"/>
        </w:rPr>
        <w:t>булінгу</w:t>
      </w:r>
      <w:proofErr w:type="spellEnd"/>
      <w:r w:rsidR="003549AC" w:rsidRPr="00441D40">
        <w:rPr>
          <w:sz w:val="28"/>
          <w:szCs w:val="28"/>
        </w:rPr>
        <w:t xml:space="preserve"> (цькування) (далі – Комісія) зі складу педагогічних працівників (у тому числі психолог), батьків постраждалого та </w:t>
      </w:r>
      <w:proofErr w:type="spellStart"/>
      <w:r w:rsidR="003549AC" w:rsidRPr="00441D40">
        <w:rPr>
          <w:sz w:val="28"/>
          <w:szCs w:val="28"/>
        </w:rPr>
        <w:t>булера</w:t>
      </w:r>
      <w:proofErr w:type="spellEnd"/>
      <w:r w:rsidR="003549AC" w:rsidRPr="00441D40">
        <w:rPr>
          <w:sz w:val="28"/>
          <w:szCs w:val="28"/>
        </w:rPr>
        <w:t>, керівника закладу освіти та скликається засідання.</w:t>
      </w:r>
    </w:p>
    <w:p w14:paraId="1368633C" w14:textId="710D07F8" w:rsidR="003549AC" w:rsidRPr="00441D40" w:rsidRDefault="003549AC" w:rsidP="00441D40">
      <w:pPr>
        <w:pStyle w:val="cdt4ke"/>
        <w:spacing w:before="210" w:beforeAutospacing="0" w:after="0" w:afterAutospacing="0"/>
        <w:jc w:val="both"/>
        <w:rPr>
          <w:sz w:val="28"/>
          <w:szCs w:val="28"/>
        </w:rPr>
      </w:pPr>
      <w:r w:rsidRPr="00441D40">
        <w:rPr>
          <w:b/>
          <w:bCs/>
          <w:sz w:val="28"/>
          <w:szCs w:val="28"/>
        </w:rPr>
        <w:t>2.7.</w:t>
      </w:r>
      <w:r w:rsidRPr="00441D40">
        <w:rPr>
          <w:sz w:val="28"/>
          <w:szCs w:val="28"/>
        </w:rPr>
        <w:t xml:space="preserve"> Комісія протягом 10 днів проводить розслідування та приймає відповідне рішення</w:t>
      </w:r>
    </w:p>
    <w:p w14:paraId="1BF7B30D" w14:textId="3EC62C5C" w:rsidR="003549AC" w:rsidRPr="00441D40" w:rsidRDefault="003549AC" w:rsidP="00441D40">
      <w:pPr>
        <w:pStyle w:val="cdt4ke"/>
        <w:spacing w:before="210" w:beforeAutospacing="0" w:after="0" w:afterAutospacing="0"/>
        <w:jc w:val="both"/>
        <w:rPr>
          <w:b/>
          <w:bCs/>
          <w:sz w:val="32"/>
          <w:szCs w:val="32"/>
        </w:rPr>
      </w:pPr>
      <w:r w:rsidRPr="00441D40">
        <w:rPr>
          <w:b/>
          <w:bCs/>
          <w:sz w:val="32"/>
          <w:szCs w:val="32"/>
        </w:rPr>
        <w:t xml:space="preserve">3. Діяльність комісії закладу освіти з розгляду випадків </w:t>
      </w:r>
      <w:proofErr w:type="spellStart"/>
      <w:r w:rsidRPr="00441D40">
        <w:rPr>
          <w:b/>
          <w:bCs/>
          <w:sz w:val="32"/>
          <w:szCs w:val="32"/>
        </w:rPr>
        <w:t>булінгу</w:t>
      </w:r>
      <w:proofErr w:type="spellEnd"/>
      <w:r w:rsidRPr="00441D40">
        <w:rPr>
          <w:b/>
          <w:bCs/>
          <w:sz w:val="32"/>
          <w:szCs w:val="32"/>
        </w:rPr>
        <w:t xml:space="preserve"> (цькування)</w:t>
      </w:r>
    </w:p>
    <w:p w14:paraId="53A0A9E6" w14:textId="535B55D1" w:rsidR="003549AC" w:rsidRPr="00441D40" w:rsidRDefault="002753F3" w:rsidP="00441D40">
      <w:pPr>
        <w:pStyle w:val="cdt4ke"/>
        <w:spacing w:before="210" w:beforeAutospacing="0" w:after="0" w:afterAutospacing="0"/>
        <w:jc w:val="both"/>
        <w:rPr>
          <w:sz w:val="28"/>
          <w:szCs w:val="28"/>
        </w:rPr>
      </w:pPr>
      <w:r w:rsidRPr="00441D40">
        <w:rPr>
          <w:b/>
          <w:bCs/>
          <w:sz w:val="28"/>
          <w:szCs w:val="28"/>
        </w:rPr>
        <w:t>3.1</w:t>
      </w:r>
      <w:r w:rsidRPr="00441D40">
        <w:rPr>
          <w:sz w:val="28"/>
          <w:szCs w:val="28"/>
        </w:rPr>
        <w:t xml:space="preserve"> Якщо Комісія визнає, що це був </w:t>
      </w:r>
      <w:proofErr w:type="spellStart"/>
      <w:r w:rsidRPr="00441D40">
        <w:rPr>
          <w:sz w:val="28"/>
          <w:szCs w:val="28"/>
        </w:rPr>
        <w:t>булінг</w:t>
      </w:r>
      <w:proofErr w:type="spellEnd"/>
      <w:r w:rsidRPr="00441D40">
        <w:rPr>
          <w:sz w:val="28"/>
          <w:szCs w:val="28"/>
        </w:rPr>
        <w:t xml:space="preserve"> (цькування), а не одноразовий конфлікт чи сварка, тобто відповідні дії носять системний характер, про це повідомляються уповноважені підрозділи органів Національної поліції України (ювенальна превенція) та Служба у справах дітей;</w:t>
      </w:r>
    </w:p>
    <w:p w14:paraId="52BFD0D8" w14:textId="77817F0A" w:rsidR="002753F3" w:rsidRPr="00441D40" w:rsidRDefault="002753F3" w:rsidP="00441D40">
      <w:pPr>
        <w:pStyle w:val="4"/>
        <w:shd w:val="clear" w:color="auto" w:fill="FFFFFF"/>
        <w:spacing w:before="0" w:after="225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1D4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3.2</w:t>
      </w:r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Комісія за результатами проведеного розслідування щодо з’ясування обставин на підставі заяви про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(цькування), визначених сторін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(цькування), встановлених можливих причин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(цькування) розробляє рекомендації для педагогічних працівників щодо освітньої діяльності з учнями, причетними до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їх батьками (особами, що їх заміняють), заходи стабілізації психологічного клімату у колективі, надання соціальних та психолого-педагогічних послуг сторонам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(цькування).</w:t>
      </w:r>
    </w:p>
    <w:p w14:paraId="09E9F159" w14:textId="4CDA26E6" w:rsidR="002753F3" w:rsidRPr="00441D40" w:rsidRDefault="002753F3" w:rsidP="00441D40">
      <w:pPr>
        <w:pStyle w:val="4"/>
        <w:shd w:val="clear" w:color="auto" w:fill="FFFFFF"/>
        <w:spacing w:before="0" w:after="225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1D4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3.3.</w:t>
      </w:r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Надаються психолого-педагогічні послуги здобувачам освіти, які вчинили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стали його свідками або постраждали від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4D7EA6" w14:textId="33E537B4" w:rsidR="006E608E" w:rsidRPr="00441D40" w:rsidRDefault="002753F3" w:rsidP="00441D40">
      <w:pPr>
        <w:pStyle w:val="4"/>
        <w:shd w:val="clear" w:color="auto" w:fill="FFFFFF"/>
        <w:spacing w:before="0" w:after="225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1D4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3.4.</w:t>
      </w:r>
      <w:r w:rsid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E608E"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Педагогічні працівники, які працюють з класом чи групою, у якій зафіксовано випадок </w:t>
      </w:r>
      <w:proofErr w:type="spellStart"/>
      <w:r w:rsidR="006E608E"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="006E608E"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(цькування), забезпечують:</w:t>
      </w:r>
    </w:p>
    <w:p w14:paraId="5200974C" w14:textId="77777777" w:rsidR="006E608E" w:rsidRPr="00441D40" w:rsidRDefault="006E608E" w:rsidP="00441D40">
      <w:pPr>
        <w:pStyle w:val="4"/>
        <w:numPr>
          <w:ilvl w:val="0"/>
          <w:numId w:val="2"/>
        </w:numPr>
        <w:shd w:val="clear" w:color="auto" w:fill="FFFFFF"/>
        <w:spacing w:before="0" w:after="225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виконання рекомендації комісія з розгляду випадків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(цькування) в закладі освіти щодо доцільних методів навчання та організації роботи з учнями, причетними до </w:t>
      </w:r>
      <w:proofErr w:type="spellStart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(цькування) та їхніми батьками (законними представниками);</w:t>
      </w:r>
    </w:p>
    <w:p w14:paraId="7BB91526" w14:textId="77777777" w:rsidR="006E608E" w:rsidRPr="00441D40" w:rsidRDefault="006E608E" w:rsidP="00441D40">
      <w:pPr>
        <w:pStyle w:val="4"/>
        <w:numPr>
          <w:ilvl w:val="0"/>
          <w:numId w:val="2"/>
        </w:numPr>
        <w:shd w:val="clear" w:color="auto" w:fill="FFFFFF"/>
        <w:spacing w:before="0" w:after="225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дотримання правил поведінки учасниками освітнього процесу в закладі освіти, визначених статутом закладу освіти, законодавством;</w:t>
      </w:r>
    </w:p>
    <w:p w14:paraId="066D4B25" w14:textId="77777777" w:rsidR="006E608E" w:rsidRPr="00441D40" w:rsidRDefault="006E608E" w:rsidP="00441D40">
      <w:pPr>
        <w:pStyle w:val="4"/>
        <w:numPr>
          <w:ilvl w:val="0"/>
          <w:numId w:val="2"/>
        </w:numPr>
        <w:shd w:val="clear" w:color="auto" w:fill="FFFFFF"/>
        <w:spacing w:before="0" w:after="225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виробляють спільно з здобувачами освіти правила взаємодії класу чи групи під час освітнього процесу.</w:t>
      </w:r>
    </w:p>
    <w:p w14:paraId="29E87321" w14:textId="759D4CC5" w:rsidR="006E608E" w:rsidRDefault="00441D40" w:rsidP="00441D40">
      <w:pPr>
        <w:pStyle w:val="4"/>
        <w:shd w:val="clear" w:color="auto" w:fill="FFFFFF"/>
        <w:spacing w:before="0" w:after="225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1D4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3.5</w:t>
      </w:r>
      <w:r w:rsidR="006E608E" w:rsidRPr="00441D4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="006E608E"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Батьки здобувачів освіти (законні представники) зобов’язані виконувати рішення та рекомендації комісії з розгляду випадків </w:t>
      </w:r>
      <w:proofErr w:type="spellStart"/>
      <w:r w:rsidR="006E608E"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булінгу</w:t>
      </w:r>
      <w:proofErr w:type="spellEnd"/>
      <w:r w:rsidR="006E608E" w:rsidRPr="00441D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(цькування) в закладі освіти.</w:t>
      </w:r>
    </w:p>
    <w:p w14:paraId="0A0ACC75" w14:textId="77777777" w:rsidR="00846B9F" w:rsidRPr="00846B9F" w:rsidRDefault="00846B9F" w:rsidP="00846B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846B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3.6 </w:t>
      </w:r>
      <w:r w:rsidRPr="00846B9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14:paraId="5B526398" w14:textId="77777777" w:rsidR="00846B9F" w:rsidRPr="00846B9F" w:rsidRDefault="00846B9F" w:rsidP="00846B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846B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lastRenderedPageBreak/>
        <w:t>4. </w:t>
      </w:r>
      <w:r w:rsidRPr="00846B9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Особи, які за результатами розслідування є причетними до </w:t>
      </w:r>
      <w:proofErr w:type="spellStart"/>
      <w:r w:rsidRPr="00846B9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булінгу</w:t>
      </w:r>
      <w:proofErr w:type="spellEnd"/>
      <w:r w:rsidRPr="00846B9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14:paraId="2E971615" w14:textId="77777777" w:rsidR="00846B9F" w:rsidRPr="00846B9F" w:rsidRDefault="00846B9F" w:rsidP="00846B9F"/>
    <w:p w14:paraId="1E1E7960" w14:textId="559584AA" w:rsidR="002753F3" w:rsidRPr="00441D40" w:rsidRDefault="002753F3" w:rsidP="00441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39340" w14:textId="6EDCA6B1" w:rsidR="002753F3" w:rsidRPr="00441D40" w:rsidRDefault="002753F3" w:rsidP="00441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8226B" w14:textId="23BBD25A" w:rsidR="002753F3" w:rsidRPr="00441D40" w:rsidRDefault="002753F3" w:rsidP="00441D40">
      <w:pPr>
        <w:pStyle w:val="cdt4ke"/>
        <w:spacing w:before="210" w:beforeAutospacing="0" w:after="0" w:afterAutospacing="0"/>
        <w:jc w:val="both"/>
        <w:rPr>
          <w:sz w:val="28"/>
          <w:szCs w:val="28"/>
        </w:rPr>
      </w:pPr>
    </w:p>
    <w:sectPr w:rsidR="002753F3" w:rsidRPr="00441D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598B"/>
    <w:multiLevelType w:val="multilevel"/>
    <w:tmpl w:val="D1BE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3717CF"/>
    <w:multiLevelType w:val="multilevel"/>
    <w:tmpl w:val="422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CF"/>
    <w:rsid w:val="00051835"/>
    <w:rsid w:val="002753F3"/>
    <w:rsid w:val="003549AC"/>
    <w:rsid w:val="0038262D"/>
    <w:rsid w:val="00441D40"/>
    <w:rsid w:val="006E608E"/>
    <w:rsid w:val="00846B9F"/>
    <w:rsid w:val="00AE75A1"/>
    <w:rsid w:val="00B151D3"/>
    <w:rsid w:val="00C2033E"/>
    <w:rsid w:val="00C92F26"/>
    <w:rsid w:val="00CC2BCF"/>
    <w:rsid w:val="00F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3D6C"/>
  <w15:chartTrackingRefBased/>
  <w15:docId w15:val="{C557B4DF-8E6D-42BC-893A-9B4EC846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2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F1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20F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F20F10"/>
    <w:rPr>
      <w:color w:val="0000FF"/>
      <w:u w:val="single"/>
    </w:rPr>
  </w:style>
  <w:style w:type="paragraph" w:customStyle="1" w:styleId="end">
    <w:name w:val="end"/>
    <w:basedOn w:val="a"/>
    <w:rsid w:val="00F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F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Unresolved Mention"/>
    <w:basedOn w:val="a0"/>
    <w:uiPriority w:val="99"/>
    <w:semiHidden/>
    <w:unhideWhenUsed/>
    <w:rsid w:val="0038262D"/>
    <w:rPr>
      <w:color w:val="605E5C"/>
      <w:shd w:val="clear" w:color="auto" w:fill="E1DFDD"/>
    </w:rPr>
  </w:style>
  <w:style w:type="paragraph" w:customStyle="1" w:styleId="cdt4ke">
    <w:name w:val="cdt4ke"/>
    <w:basedOn w:val="a"/>
    <w:rsid w:val="003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2753F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kivskiyzz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3002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2022-07-22T20:03:00Z</dcterms:created>
  <dcterms:modified xsi:type="dcterms:W3CDTF">2022-07-28T17:30:00Z</dcterms:modified>
</cp:coreProperties>
</file>