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BCDE49">
      <w:pPr>
        <w:spacing w:after="0"/>
        <w:ind w:firstLine="709"/>
        <w:jc w:val="center"/>
        <w:rPr>
          <w:rFonts w:ascii="Times New Roman" w:hAnsi="Times New Roman" w:eastAsia="Times New Roman"/>
          <w:b/>
          <w:bCs/>
          <w:color w:val="0070C0"/>
          <w:lang w:eastAsia="uk-UA"/>
        </w:rPr>
      </w:pPr>
      <w:bookmarkStart w:id="0" w:name="_heading=h.gjdgxs" w:colFirst="0" w:colLast="0"/>
      <w:bookmarkEnd w:id="0"/>
      <w:r>
        <w:rPr>
          <w:rFonts w:ascii="Times New Roman" w:hAnsi="Times New Roman" w:eastAsia="Times New Roman"/>
          <w:color w:val="212121"/>
          <w:sz w:val="28"/>
          <w:szCs w:val="28"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-382270</wp:posOffset>
            </wp:positionH>
            <wp:positionV relativeFrom="margin">
              <wp:posOffset>-384810</wp:posOffset>
            </wp:positionV>
            <wp:extent cx="7362190" cy="10429875"/>
            <wp:effectExtent l="0" t="0" r="1016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2190" cy="10429875"/>
                    </a:xfrm>
                    <a:prstGeom prst="rect">
                      <a:avLst/>
                    </a:prstGeom>
                    <a:gradFill flip="none"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0"/>
                    </a:gradFill>
                  </pic:spPr>
                </pic:pic>
              </a:graphicData>
            </a:graphic>
          </wp:anchor>
        </w:drawing>
      </w:r>
    </w:p>
    <w:p w14:paraId="3168D97F">
      <w:pPr>
        <w:spacing w:after="0"/>
        <w:ind w:firstLine="709"/>
        <w:jc w:val="center"/>
        <w:rPr>
          <w:rFonts w:ascii="Times New Roman" w:hAnsi="Times New Roman" w:eastAsia="Times New Roman"/>
          <w:b/>
          <w:bCs/>
          <w:color w:val="0070C0"/>
          <w:lang w:eastAsia="uk-UA"/>
        </w:rPr>
      </w:pPr>
    </w:p>
    <w:p w14:paraId="65F0A471">
      <w:pPr>
        <w:spacing w:after="0"/>
        <w:ind w:firstLine="709"/>
        <w:jc w:val="center"/>
      </w:pPr>
      <w:r>
        <w:drawing>
          <wp:inline distT="0" distB="0" distL="0" distR="0">
            <wp:extent cx="4924425" cy="2796540"/>
            <wp:effectExtent l="0" t="0" r="9525" b="3810"/>
            <wp:docPr id="1" name="Рисунок 1" descr="Креативна титульна сторінка для календарного планування вчителя української  м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Креативна титульна сторінка для календарного планування вчителя української  мов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5812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FC762">
      <w:pPr>
        <w:spacing w:after="0"/>
        <w:ind w:firstLine="709"/>
        <w:jc w:val="center"/>
      </w:pPr>
    </w:p>
    <w:p w14:paraId="2730F7C6">
      <w:pPr>
        <w:spacing w:after="0"/>
        <w:ind w:firstLine="709"/>
        <w:jc w:val="center"/>
        <w:rPr>
          <w:lang w:val="uk-UA"/>
        </w:rPr>
      </w:pPr>
    </w:p>
    <w:p w14:paraId="048C1417">
      <w:pPr>
        <w:spacing w:after="0"/>
        <w:ind w:firstLine="709"/>
        <w:jc w:val="center"/>
        <w:rPr>
          <w:lang w:val="uk-UA"/>
        </w:rPr>
      </w:pPr>
    </w:p>
    <w:p w14:paraId="054EF86A">
      <w:pPr>
        <w:spacing w:after="0"/>
        <w:ind w:firstLine="709"/>
        <w:jc w:val="center"/>
        <w:rPr>
          <w:lang w:val="uk-UA"/>
        </w:rPr>
      </w:pPr>
    </w:p>
    <w:p w14:paraId="0133E7BF">
      <w:pPr>
        <w:spacing w:after="0"/>
        <w:ind w:firstLine="709"/>
        <w:jc w:val="center"/>
        <w:rPr>
          <w:lang w:val="uk-UA"/>
        </w:rPr>
      </w:pPr>
    </w:p>
    <w:p w14:paraId="099E1F68">
      <w:pPr>
        <w:spacing w:after="0"/>
        <w:ind w:firstLine="709"/>
        <w:jc w:val="center"/>
        <w:rPr>
          <w:lang w:val="uk-UA"/>
        </w:rPr>
      </w:pPr>
    </w:p>
    <w:p w14:paraId="68DCF7B8">
      <w:pPr>
        <w:spacing w:after="0"/>
        <w:ind w:firstLine="709"/>
        <w:jc w:val="center"/>
        <w:rPr>
          <w:rFonts w:hint="default" w:ascii="Times New Roman" w:hAnsi="Times New Roman" w:cs="Times New Roman"/>
          <w:b/>
          <w:bCs/>
          <w:sz w:val="44"/>
          <w:szCs w:val="44"/>
          <w:lang w:val="uk-UA"/>
        </w:rPr>
      </w:pPr>
      <w:r>
        <w:rPr>
          <w:rFonts w:hint="default" w:ascii="Times New Roman" w:hAnsi="Times New Roman" w:cs="Times New Roman"/>
          <w:b/>
          <w:bCs/>
          <w:sz w:val="44"/>
          <w:szCs w:val="44"/>
          <w:lang w:val="uk-UA"/>
        </w:rPr>
        <w:t xml:space="preserve">План роботи </w:t>
      </w:r>
    </w:p>
    <w:p w14:paraId="77D5FF28">
      <w:pPr>
        <w:spacing w:after="0"/>
        <w:ind w:firstLine="709"/>
        <w:jc w:val="center"/>
        <w:rPr>
          <w:rFonts w:hint="default" w:ascii="Times New Roman" w:hAnsi="Times New Roman" w:cs="Times New Roman"/>
          <w:b/>
          <w:bCs/>
          <w:sz w:val="44"/>
          <w:szCs w:val="44"/>
          <w:lang w:val="uk-UA"/>
        </w:rPr>
      </w:pPr>
      <w:r>
        <w:rPr>
          <w:rFonts w:hint="default" w:ascii="Times New Roman" w:hAnsi="Times New Roman" w:cs="Times New Roman"/>
          <w:b/>
          <w:bCs/>
          <w:sz w:val="44"/>
          <w:szCs w:val="44"/>
          <w:lang w:val="uk-UA"/>
        </w:rPr>
        <w:t xml:space="preserve">національно-патріотичного </w:t>
      </w:r>
    </w:p>
    <w:p w14:paraId="4F2BBDFE">
      <w:pPr>
        <w:spacing w:after="0"/>
        <w:ind w:firstLine="709"/>
        <w:jc w:val="center"/>
        <w:rPr>
          <w:rFonts w:hint="default" w:ascii="Times New Roman" w:hAnsi="Times New Roman" w:cs="Times New Roman"/>
          <w:b/>
          <w:bCs/>
          <w:sz w:val="44"/>
          <w:szCs w:val="44"/>
          <w:lang w:val="uk-UA"/>
        </w:rPr>
      </w:pPr>
      <w:r>
        <w:rPr>
          <w:rFonts w:hint="default" w:ascii="Times New Roman" w:hAnsi="Times New Roman" w:cs="Times New Roman"/>
          <w:b/>
          <w:bCs/>
          <w:sz w:val="44"/>
          <w:szCs w:val="44"/>
          <w:lang w:val="uk-UA"/>
        </w:rPr>
        <w:t>виховання</w:t>
      </w:r>
    </w:p>
    <w:p w14:paraId="2F253510">
      <w:pPr>
        <w:spacing w:after="0"/>
        <w:ind w:firstLine="709"/>
        <w:jc w:val="center"/>
        <w:rPr>
          <w:rFonts w:hint="default" w:ascii="Times New Roman" w:hAnsi="Times New Roman" w:cs="Times New Roman"/>
          <w:b/>
          <w:bCs/>
          <w:sz w:val="44"/>
          <w:szCs w:val="44"/>
          <w:lang w:val="uk-UA"/>
        </w:rPr>
      </w:pPr>
      <w:r>
        <w:rPr>
          <w:rFonts w:hint="default" w:ascii="Times New Roman" w:hAnsi="Times New Roman" w:cs="Times New Roman"/>
          <w:b/>
          <w:bCs/>
          <w:sz w:val="44"/>
          <w:szCs w:val="44"/>
          <w:lang w:val="uk-UA"/>
        </w:rPr>
        <w:t>на 2025-2026 н.р.</w:t>
      </w:r>
    </w:p>
    <w:p w14:paraId="75213674">
      <w:pPr>
        <w:spacing w:after="0"/>
        <w:ind w:firstLine="709"/>
        <w:jc w:val="center"/>
        <w:rPr>
          <w:rFonts w:hint="default" w:ascii="Times New Roman" w:hAnsi="Times New Roman" w:cs="Times New Roman"/>
          <w:b/>
          <w:bCs/>
          <w:sz w:val="44"/>
          <w:szCs w:val="44"/>
          <w:lang w:val="uk-UA"/>
        </w:rPr>
      </w:pPr>
      <w:r>
        <w:rPr>
          <w:rFonts w:hint="default" w:ascii="Times New Roman" w:hAnsi="Times New Roman" w:cs="Times New Roman"/>
          <w:b/>
          <w:bCs/>
          <w:sz w:val="44"/>
          <w:szCs w:val="44"/>
          <w:lang w:val="uk-UA"/>
        </w:rPr>
        <w:t>у Маковичівському ліцеї</w:t>
      </w:r>
    </w:p>
    <w:p w14:paraId="6C7BF2F2">
      <w:pPr>
        <w:pStyle w:val="3"/>
        <w:spacing w:line="240" w:lineRule="auto"/>
        <w:jc w:val="center"/>
        <w:rPr>
          <w:rFonts w:ascii="Times New Roman" w:hAnsi="Times New Roman" w:eastAsia="Times New Roman" w:cs="Times New Roman"/>
          <w:color w:val="000000"/>
          <w:sz w:val="36"/>
          <w:szCs w:val="36"/>
        </w:rPr>
      </w:pPr>
    </w:p>
    <w:p w14:paraId="77932D8C">
      <w:pPr>
        <w:pStyle w:val="3"/>
        <w:spacing w:line="240" w:lineRule="auto"/>
        <w:jc w:val="center"/>
        <w:rPr>
          <w:rFonts w:ascii="Times New Roman" w:hAnsi="Times New Roman" w:eastAsia="Times New Roman" w:cs="Times New Roman"/>
          <w:color w:val="000000"/>
          <w:sz w:val="36"/>
          <w:szCs w:val="36"/>
        </w:rPr>
      </w:pPr>
    </w:p>
    <w:p w14:paraId="3BD8374A">
      <w:pPr>
        <w:pStyle w:val="3"/>
        <w:spacing w:line="240" w:lineRule="auto"/>
        <w:jc w:val="center"/>
        <w:rPr>
          <w:rFonts w:ascii="Times New Roman" w:hAnsi="Times New Roman" w:eastAsia="Times New Roman" w:cs="Times New Roman"/>
          <w:color w:val="000000"/>
          <w:sz w:val="36"/>
          <w:szCs w:val="36"/>
        </w:rPr>
      </w:pPr>
    </w:p>
    <w:p w14:paraId="21CECF05">
      <w:pPr>
        <w:pStyle w:val="3"/>
        <w:spacing w:line="240" w:lineRule="auto"/>
        <w:jc w:val="center"/>
        <w:rPr>
          <w:rFonts w:ascii="Times New Roman" w:hAnsi="Times New Roman" w:eastAsia="Times New Roman" w:cs="Times New Roman"/>
          <w:color w:val="000000"/>
          <w:sz w:val="36"/>
          <w:szCs w:val="36"/>
        </w:rPr>
      </w:pPr>
    </w:p>
    <w:p w14:paraId="7820128E">
      <w:pPr>
        <w:pStyle w:val="3"/>
        <w:spacing w:line="240" w:lineRule="auto"/>
        <w:jc w:val="center"/>
        <w:rPr>
          <w:rFonts w:ascii="Times New Roman" w:hAnsi="Times New Roman" w:eastAsia="Times New Roman" w:cs="Times New Roman"/>
          <w:color w:val="000000"/>
          <w:sz w:val="36"/>
          <w:szCs w:val="36"/>
        </w:rPr>
      </w:pPr>
    </w:p>
    <w:p w14:paraId="04D83C41">
      <w:pPr>
        <w:pStyle w:val="3"/>
        <w:spacing w:line="240" w:lineRule="auto"/>
        <w:jc w:val="both"/>
        <w:rPr>
          <w:rFonts w:ascii="Times New Roman" w:hAnsi="Times New Roman" w:eastAsia="Times New Roman" w:cs="Times New Roman"/>
          <w:color w:val="000000"/>
          <w:sz w:val="36"/>
          <w:szCs w:val="36"/>
        </w:rPr>
      </w:pPr>
    </w:p>
    <w:p w14:paraId="064E7744">
      <w:bookmarkStart w:id="1" w:name="_GoBack"/>
      <w:bookmarkEnd w:id="1"/>
    </w:p>
    <w:p w14:paraId="304D92AB">
      <w:pPr>
        <w:pStyle w:val="3"/>
        <w:spacing w:line="240" w:lineRule="auto"/>
        <w:jc w:val="center"/>
        <w:rPr>
          <w:rFonts w:ascii="Times New Roman" w:hAnsi="Times New Roman" w:eastAsia="Times New Roman" w:cs="Times New Roman"/>
          <w:color w:val="000000"/>
          <w:sz w:val="36"/>
          <w:szCs w:val="36"/>
        </w:rPr>
      </w:pPr>
      <w:r>
        <w:rPr>
          <w:rFonts w:ascii="Times New Roman" w:hAnsi="Times New Roman" w:eastAsia="Times New Roman" w:cs="Times New Roman"/>
          <w:color w:val="000000"/>
          <w:sz w:val="36"/>
          <w:szCs w:val="36"/>
        </w:rPr>
        <w:t>План заходів національно-патріотичного виховання</w:t>
      </w:r>
      <w:r>
        <w:rPr>
          <w:rFonts w:ascii="Times New Roman" w:hAnsi="Times New Roman" w:eastAsia="Times New Roman" w:cs="Times New Roman"/>
          <w:color w:val="000000"/>
          <w:sz w:val="36"/>
          <w:szCs w:val="36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36"/>
          <w:szCs w:val="36"/>
        </w:rPr>
        <w:t>на 2025-2026 н.р.</w:t>
      </w:r>
    </w:p>
    <w:p w14:paraId="39499EB5">
      <w:pPr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17"/>
        <w:tblW w:w="9329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"/>
        <w:gridCol w:w="3934"/>
        <w:gridCol w:w="1376"/>
        <w:gridCol w:w="2201"/>
        <w:gridCol w:w="1373"/>
      </w:tblGrid>
      <w:tr w14:paraId="0B4AAB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445" w:type="dxa"/>
          </w:tcPr>
          <w:p w14:paraId="436D9D7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34" w:type="dxa"/>
          </w:tcPr>
          <w:p w14:paraId="543623C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 w14:paraId="3AAE479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Заходи</w:t>
            </w:r>
          </w:p>
        </w:tc>
        <w:tc>
          <w:tcPr>
            <w:tcW w:w="1376" w:type="dxa"/>
          </w:tcPr>
          <w:p w14:paraId="27C143D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Термін виконання</w:t>
            </w:r>
          </w:p>
        </w:tc>
        <w:tc>
          <w:tcPr>
            <w:tcW w:w="2201" w:type="dxa"/>
          </w:tcPr>
          <w:p w14:paraId="7D29348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 w14:paraId="78E032C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Відповідаючі</w:t>
            </w:r>
          </w:p>
        </w:tc>
        <w:tc>
          <w:tcPr>
            <w:tcW w:w="1373" w:type="dxa"/>
          </w:tcPr>
          <w:p w14:paraId="686F29D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Відмітка про виконання</w:t>
            </w:r>
          </w:p>
        </w:tc>
      </w:tr>
      <w:tr w14:paraId="090851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</w:trPr>
        <w:tc>
          <w:tcPr>
            <w:tcW w:w="445" w:type="dxa"/>
          </w:tcPr>
          <w:p w14:paraId="127A07F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34" w:type="dxa"/>
          </w:tcPr>
          <w:p w14:paraId="42EA459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white"/>
              </w:rPr>
              <w:t>Провести національно-патріотичні, інформаційно-просвітницькі заходи (тематичні виховні години, уроки патріотичного виховання, уроки пам’яті, уроки-реквієми, уроки мужності, круглі столи, патріотичні читання) в освітніх закладах з нагоди Дня пам’яті захисників України, із залученням ветеранів війни – учасників антитерористичної операції, учасників з відсічі та стримування збройної агресії Російської Федерації у Донецькій та Луганських областях, осіб, які чинили опір незаконній окупації та анексії Автономної Республіки Крим, на теми: «Пам’ять єднає», «Душу і тіло ми положимо за нашу свободу», «Героям слава – вписано в серцях», 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highlight w:val="white"/>
              </w:rPr>
              <w:t>«Спіть спокійно, Герої: трагедія під Іловайськом»,</w:t>
            </w:r>
            <w:r>
              <w:rPr>
                <w:rFonts w:ascii="Times New Roman" w:hAnsi="Times New Roman" w:eastAsia="Times New Roman" w:cs="Times New Roman"/>
                <w:color w:val="000000"/>
                <w:highlight w:val="white"/>
              </w:rPr>
              <w:t> «Хто вмирає в боротьбі – в серцях живе повіки», «Пам’ятаємо загиблих, шануємо живих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highlight w:val="white"/>
              </w:rPr>
              <w:t>…</w:t>
            </w:r>
            <w:r>
              <w:rPr>
                <w:rFonts w:ascii="Times New Roman" w:hAnsi="Times New Roman" w:eastAsia="Times New Roman" w:cs="Times New Roman"/>
                <w:color w:val="000000"/>
                <w:highlight w:val="white"/>
              </w:rPr>
              <w:t>»,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highlight w:val="white"/>
              </w:rPr>
              <w:t> «За волю, правду і майбуття».</w:t>
            </w:r>
          </w:p>
        </w:tc>
        <w:tc>
          <w:tcPr>
            <w:tcW w:w="1376" w:type="dxa"/>
          </w:tcPr>
          <w:p w14:paraId="690CF38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протягом 2025-202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н.р.</w:t>
            </w:r>
          </w:p>
        </w:tc>
        <w:tc>
          <w:tcPr>
            <w:tcW w:w="2201" w:type="dxa"/>
          </w:tcPr>
          <w:p w14:paraId="12EBF41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Заступник директора з виховної роботи, педагоги-організатори, класні керівники, вчитель Захисту України</w:t>
            </w:r>
          </w:p>
        </w:tc>
        <w:tc>
          <w:tcPr>
            <w:tcW w:w="1373" w:type="dxa"/>
          </w:tcPr>
          <w:p w14:paraId="336EC8A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 w14:paraId="2E9828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</w:trPr>
        <w:tc>
          <w:tcPr>
            <w:tcW w:w="445" w:type="dxa"/>
          </w:tcPr>
          <w:p w14:paraId="07AF415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34" w:type="dxa"/>
          </w:tcPr>
          <w:p w14:paraId="3EA5F45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white"/>
              </w:rPr>
              <w:t>Організувати перегляд та обговорення документальних фільмів, відеохронік, презентаційних матеріалів, присвячених боротьбі українського народу за незалежність, суверенітет і територіальну цілісність України.</w:t>
            </w:r>
          </w:p>
        </w:tc>
        <w:tc>
          <w:tcPr>
            <w:tcW w:w="1376" w:type="dxa"/>
          </w:tcPr>
          <w:p w14:paraId="00530C1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протягом 2025-202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н.р.</w:t>
            </w:r>
          </w:p>
        </w:tc>
        <w:tc>
          <w:tcPr>
            <w:tcW w:w="2201" w:type="dxa"/>
          </w:tcPr>
          <w:p w14:paraId="62AA8B7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Заступник директора з виховної роботи, педагоги-організатори, класні керівники, вчитель Захисту України </w:t>
            </w:r>
          </w:p>
        </w:tc>
        <w:tc>
          <w:tcPr>
            <w:tcW w:w="1373" w:type="dxa"/>
          </w:tcPr>
          <w:p w14:paraId="61154F1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 w14:paraId="1C7172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9" w:hRule="atLeast"/>
        </w:trPr>
        <w:tc>
          <w:tcPr>
            <w:tcW w:w="445" w:type="dxa"/>
          </w:tcPr>
          <w:p w14:paraId="4A7DF40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34" w:type="dxa"/>
          </w:tcPr>
          <w:p w14:paraId="788BDB8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white"/>
              </w:rPr>
              <w:t>Забезпечити впорядкування пам’ятників, пам’ятних знаків, меморіальних дошок, місць поховань захисників України, які загинули в боротьбі за незалежність, суверенітет і територіальну цілісність України, покладання квітів.</w:t>
            </w:r>
          </w:p>
        </w:tc>
        <w:tc>
          <w:tcPr>
            <w:tcW w:w="1376" w:type="dxa"/>
          </w:tcPr>
          <w:p w14:paraId="3F8373F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протягом 2025-202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н.р.</w:t>
            </w:r>
          </w:p>
        </w:tc>
        <w:tc>
          <w:tcPr>
            <w:tcW w:w="2201" w:type="dxa"/>
          </w:tcPr>
          <w:p w14:paraId="41AA335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Заступник директора з виховної роботи, педагоги-організатори, класні керівники, вчитель ЗУ</w:t>
            </w:r>
          </w:p>
        </w:tc>
        <w:tc>
          <w:tcPr>
            <w:tcW w:w="1373" w:type="dxa"/>
          </w:tcPr>
          <w:p w14:paraId="621812C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 w14:paraId="7FE1EF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445" w:type="dxa"/>
          </w:tcPr>
          <w:p w14:paraId="4A68703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34" w:type="dxa"/>
          </w:tcPr>
          <w:p w14:paraId="4BB116E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Організувати проведення у бібліотеці школи виставок художніх творів, творів мистецтва, історичних документів, експозицій з архівних фото- і художніх матеріалів, присвячених пам’яті воїнів, які брали участь у захисті України в роки Другої світової війни та під час проведення антитерористичної операції на сході України, за темами: «Уклін живим, загиблим – слава», «Герої не вмирають», «Земляки – герої України»</w:t>
            </w:r>
          </w:p>
        </w:tc>
        <w:tc>
          <w:tcPr>
            <w:tcW w:w="1376" w:type="dxa"/>
          </w:tcPr>
          <w:p w14:paraId="7BC22DC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протягом 2025-202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н.р.</w:t>
            </w:r>
          </w:p>
        </w:tc>
        <w:tc>
          <w:tcPr>
            <w:tcW w:w="2201" w:type="dxa"/>
          </w:tcPr>
          <w:p w14:paraId="0C67BEB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Бібліотекарі</w:t>
            </w:r>
          </w:p>
        </w:tc>
        <w:tc>
          <w:tcPr>
            <w:tcW w:w="1373" w:type="dxa"/>
          </w:tcPr>
          <w:p w14:paraId="528D5E8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 w14:paraId="007206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445" w:type="dxa"/>
          </w:tcPr>
          <w:p w14:paraId="2E498D6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34" w:type="dxa"/>
          </w:tcPr>
          <w:p w14:paraId="40F8762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white"/>
              </w:rPr>
              <w:t>Організувати зустрічі учнівських та педагогічних колективів з членами сімей загиблих захисників України, їхніми побратимами.</w:t>
            </w:r>
          </w:p>
        </w:tc>
        <w:tc>
          <w:tcPr>
            <w:tcW w:w="1376" w:type="dxa"/>
          </w:tcPr>
          <w:p w14:paraId="67E6B40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протягом 2025-202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н.р.</w:t>
            </w:r>
          </w:p>
        </w:tc>
        <w:tc>
          <w:tcPr>
            <w:tcW w:w="2201" w:type="dxa"/>
          </w:tcPr>
          <w:p w14:paraId="144495D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Заступник директора з виховної роботи, педагоги-організатори</w:t>
            </w:r>
          </w:p>
        </w:tc>
        <w:tc>
          <w:tcPr>
            <w:tcW w:w="1373" w:type="dxa"/>
          </w:tcPr>
          <w:p w14:paraId="3B6A066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 w14:paraId="7556D0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</w:trPr>
        <w:tc>
          <w:tcPr>
            <w:tcW w:w="445" w:type="dxa"/>
          </w:tcPr>
          <w:p w14:paraId="74AE853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34" w:type="dxa"/>
          </w:tcPr>
          <w:p w14:paraId="1BD4700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white"/>
              </w:rPr>
              <w:t>Провести змагання з військово-прикладних видів спорту в пам’ять про загиблих воїнів-захисників «Шаную воїнів, біжу за героїв України».</w:t>
            </w:r>
          </w:p>
        </w:tc>
        <w:tc>
          <w:tcPr>
            <w:tcW w:w="1376" w:type="dxa"/>
          </w:tcPr>
          <w:p w14:paraId="59C1CE6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протягом 2025-202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н.р.</w:t>
            </w:r>
          </w:p>
        </w:tc>
        <w:tc>
          <w:tcPr>
            <w:tcW w:w="2201" w:type="dxa"/>
          </w:tcPr>
          <w:p w14:paraId="4B1D279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Педагогічний, учнівський та батьківський колективи, вчитель Захисту України, вчитель фізичної культури</w:t>
            </w:r>
          </w:p>
        </w:tc>
        <w:tc>
          <w:tcPr>
            <w:tcW w:w="1373" w:type="dxa"/>
          </w:tcPr>
          <w:p w14:paraId="6A0D275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 w14:paraId="7D55C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</w:trPr>
        <w:tc>
          <w:tcPr>
            <w:tcW w:w="445" w:type="dxa"/>
          </w:tcPr>
          <w:p w14:paraId="791426F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34" w:type="dxa"/>
          </w:tcPr>
          <w:p w14:paraId="222DA0B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white"/>
              </w:rPr>
              <w:t>Провести велопробіг здобувачів освіти з нагоди Дня вшанування пам’яті захисників України «Вшануємо пам’ять захисників України».</w:t>
            </w:r>
          </w:p>
        </w:tc>
        <w:tc>
          <w:tcPr>
            <w:tcW w:w="1376" w:type="dxa"/>
          </w:tcPr>
          <w:p w14:paraId="5DEBB18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201" w:type="dxa"/>
          </w:tcPr>
          <w:p w14:paraId="134D082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Педагогічний, учнівський та батьківський колективи, вчитель Захисту України, вчитель фізичної культури</w:t>
            </w:r>
          </w:p>
        </w:tc>
        <w:tc>
          <w:tcPr>
            <w:tcW w:w="1373" w:type="dxa"/>
          </w:tcPr>
          <w:p w14:paraId="2257096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 w14:paraId="1801A7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</w:trPr>
        <w:tc>
          <w:tcPr>
            <w:tcW w:w="445" w:type="dxa"/>
          </w:tcPr>
          <w:p w14:paraId="1E0E7A6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34" w:type="dxa"/>
          </w:tcPr>
          <w:p w14:paraId="647A85D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Забезпечити широке висвітлення в засобах масової інформації заходів,присвячених героїзму воїнів,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1до Дня пам яті та примирення. </w:t>
            </w:r>
          </w:p>
        </w:tc>
        <w:tc>
          <w:tcPr>
            <w:tcW w:w="1376" w:type="dxa"/>
          </w:tcPr>
          <w:p w14:paraId="593FD10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Постійно</w:t>
            </w:r>
          </w:p>
        </w:tc>
        <w:tc>
          <w:tcPr>
            <w:tcW w:w="2201" w:type="dxa"/>
          </w:tcPr>
          <w:p w14:paraId="37CC058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Заступник директора з виховної роботи, педагоги-організатори, класні керівники </w:t>
            </w:r>
          </w:p>
        </w:tc>
        <w:tc>
          <w:tcPr>
            <w:tcW w:w="1373" w:type="dxa"/>
          </w:tcPr>
          <w:p w14:paraId="1A678A0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 w14:paraId="230081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5" w:hRule="atLeast"/>
        </w:trPr>
        <w:tc>
          <w:tcPr>
            <w:tcW w:w="445" w:type="dxa"/>
          </w:tcPr>
          <w:p w14:paraId="6F43472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34" w:type="dxa"/>
          </w:tcPr>
          <w:p w14:paraId="2C63C77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Залучати учнівську молодь до участі у Всеукраїнських молодіжних та дитячих акціях: «Напиши листа захиснику України», в акціях: «Милосердя», «Хвиля доброти», «Ветеранське подвір’я», «Доброго ранку, ветеране».</w:t>
            </w:r>
          </w:p>
        </w:tc>
        <w:tc>
          <w:tcPr>
            <w:tcW w:w="1376" w:type="dxa"/>
          </w:tcPr>
          <w:p w14:paraId="1FF8873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Протягом 2025-202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н.р.</w:t>
            </w:r>
          </w:p>
        </w:tc>
        <w:tc>
          <w:tcPr>
            <w:tcW w:w="2201" w:type="dxa"/>
          </w:tcPr>
          <w:p w14:paraId="074E89D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Заступник директора з виховної роботи, педагоги-організатори, класні керівники , вчитель Захисту України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br w:type="textWrapping"/>
            </w:r>
          </w:p>
        </w:tc>
        <w:tc>
          <w:tcPr>
            <w:tcW w:w="1373" w:type="dxa"/>
          </w:tcPr>
          <w:p w14:paraId="3D0857B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DE2CAA8"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Знаменні дати:</w:t>
      </w:r>
    </w:p>
    <w:p w14:paraId="5BAF1FF4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hanging="360"/>
        <w:rPr>
          <w:rFonts w:ascii="Times New Roman" w:hAnsi="Times New Roman" w:eastAsia="Times New Roman" w:cs="Times New Roman"/>
          <w:color w:val="000000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1 жовтня – День захисника та захисниць України</w:t>
      </w:r>
    </w:p>
    <w:p w14:paraId="7AAD7283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hanging="360"/>
        <w:rPr>
          <w:rFonts w:ascii="Times New Roman" w:hAnsi="Times New Roman" w:eastAsia="Times New Roman" w:cs="Times New Roman"/>
          <w:color w:val="000000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>21 листопада – День гідності та свободи</w:t>
      </w:r>
    </w:p>
    <w:p w14:paraId="1FCB3203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hanging="360"/>
        <w:rPr>
          <w:rFonts w:ascii="Times New Roman" w:hAnsi="Times New Roman" w:eastAsia="Times New Roman" w:cs="Times New Roman"/>
          <w:color w:val="000000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shd w:val="clear" w:color="auto" w:fill="F8F9FA"/>
        </w:rPr>
        <w:t>Четверта субота листопада – День пам’яті жертв голодоморів</w:t>
      </w:r>
    </w:p>
    <w:p w14:paraId="1E114455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hanging="360"/>
        <w:rPr>
          <w:rFonts w:ascii="Times New Roman" w:hAnsi="Times New Roman" w:eastAsia="Times New Roman" w:cs="Times New Roman"/>
          <w:color w:val="000000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shd w:val="clear" w:color="auto" w:fill="F8F9FA"/>
        </w:rPr>
        <w:t>6 грудня – День Збройних сил України</w:t>
      </w:r>
    </w:p>
    <w:p w14:paraId="5C97490D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hanging="360"/>
        <w:rPr>
          <w:rFonts w:ascii="Times New Roman" w:hAnsi="Times New Roman" w:eastAsia="Times New Roman" w:cs="Times New Roman"/>
          <w:color w:val="000000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shd w:val="clear" w:color="auto" w:fill="F8F9FA"/>
        </w:rPr>
        <w:t>22 січня – День Соборності України</w:t>
      </w:r>
    </w:p>
    <w:p w14:paraId="6C7E1BB3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hanging="360"/>
        <w:rPr>
          <w:rFonts w:ascii="Times New Roman" w:hAnsi="Times New Roman" w:eastAsia="Times New Roman" w:cs="Times New Roman"/>
          <w:color w:val="000000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shd w:val="clear" w:color="auto" w:fill="F8F9FA"/>
        </w:rPr>
        <w:t>29 січня – День пам’яті героїв Крут</w:t>
      </w:r>
    </w:p>
    <w:p w14:paraId="273552C1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hanging="360"/>
        <w:rPr>
          <w:rFonts w:ascii="Times New Roman" w:hAnsi="Times New Roman" w:eastAsia="Times New Roman" w:cs="Times New Roman"/>
          <w:color w:val="000000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shd w:val="clear" w:color="auto" w:fill="F8F9FA"/>
        </w:rPr>
        <w:t>15 лютого - День вшанування учасників бойових дій на території інших держав</w:t>
      </w:r>
    </w:p>
    <w:p w14:paraId="1578B519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hanging="360"/>
        <w:rPr>
          <w:rFonts w:ascii="Times New Roman" w:hAnsi="Times New Roman" w:eastAsia="Times New Roman" w:cs="Times New Roman"/>
          <w:color w:val="000000"/>
          <w:sz w:val="24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  <w:shd w:val="clear" w:color="auto" w:fill="F8F9FA"/>
        </w:rPr>
        <w:t>20 лютого – День пам’яті Небесної сотні</w:t>
      </w:r>
    </w:p>
    <w:p w14:paraId="44DCA5BA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hanging="360"/>
        <w:rPr>
          <w:rFonts w:ascii="Times New Roman" w:hAnsi="Times New Roman" w:eastAsia="Times New Roman" w:cs="Times New Roman"/>
          <w:color w:val="000000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  <w:shd w:val="clear" w:color="auto" w:fill="F8F9FA"/>
        </w:rPr>
        <w:t>8</w:t>
      </w:r>
      <w:r>
        <w:rPr>
          <w:rFonts w:ascii="Times New Roman" w:hAnsi="Times New Roman" w:eastAsia="Times New Roman" w:cs="Times New Roman"/>
          <w:color w:val="000000"/>
          <w:sz w:val="24"/>
          <w:szCs w:val="28"/>
          <w:shd w:val="clear" w:color="auto" w:fill="F8F9FA"/>
        </w:rPr>
        <w:t xml:space="preserve"> травня – День </w:t>
      </w:r>
      <w:r>
        <w:rPr>
          <w:rFonts w:ascii="Times New Roman" w:hAnsi="Times New Roman" w:eastAsia="Times New Roman" w:cs="Times New Roman"/>
          <w:sz w:val="24"/>
          <w:szCs w:val="28"/>
          <w:shd w:val="clear" w:color="auto" w:fill="F8F9FA"/>
        </w:rPr>
        <w:t>пам’яті та примирення</w:t>
      </w:r>
    </w:p>
    <w:sectPr>
      <w:pgSz w:w="11906" w:h="16838"/>
      <w:pgMar w:top="709" w:right="850" w:bottom="1134" w:left="821" w:header="708" w:footer="70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2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Noto Sans Symbol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646107"/>
    <w:multiLevelType w:val="multilevel"/>
    <w:tmpl w:val="78646107"/>
    <w:lvl w:ilvl="0" w:tentative="0">
      <w:start w:val="1"/>
      <w:numFmt w:val="bullet"/>
      <w:lvlText w:val="⮚"/>
      <w:lvlJc w:val="left"/>
      <w:pPr>
        <w:ind w:left="644" w:hanging="359"/>
      </w:pPr>
      <w:rPr>
        <w:rFonts w:ascii="Noto Sans Symbols" w:hAnsi="Noto Sans Symbols" w:eastAsia="Noto Sans Symbols" w:cs="Noto Sans Symbol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F8A"/>
    <w:rsid w:val="00380468"/>
    <w:rsid w:val="006C3C54"/>
    <w:rsid w:val="00E97F8A"/>
    <w:rsid w:val="5787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iPriority="9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uiPriority w:val="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spacing w:before="220" w:after="40"/>
      <w:outlineLvl w:val="4"/>
    </w:pPr>
    <w:rPr>
      <w:b/>
    </w:rPr>
  </w:style>
  <w:style w:type="paragraph" w:styleId="7">
    <w:name w:val="heading 6"/>
    <w:basedOn w:val="1"/>
    <w:next w:val="1"/>
    <w:uiPriority w:val="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8"/>
    <w:qFormat/>
    <w:uiPriority w:val="20"/>
    <w:rPr>
      <w:i/>
      <w:iCs/>
    </w:rPr>
  </w:style>
  <w:style w:type="paragraph" w:styleId="11">
    <w:name w:val="Title"/>
    <w:basedOn w:val="1"/>
    <w:next w:val="1"/>
    <w:uiPriority w:val="0"/>
    <w:pPr>
      <w:keepNext/>
      <w:keepLines/>
      <w:spacing w:before="480" w:after="120"/>
    </w:pPr>
    <w:rPr>
      <w:b/>
      <w:sz w:val="72"/>
      <w:szCs w:val="72"/>
    </w:rPr>
  </w:style>
  <w:style w:type="paragraph" w:styleId="12">
    <w:name w:val="Subtitle"/>
    <w:basedOn w:val="1"/>
    <w:next w:val="1"/>
    <w:qFormat/>
    <w:uiPriority w:val="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13">
    <w:name w:val="Table Grid"/>
    <w:basedOn w:val="9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">
    <w:name w:val="Table Normal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Заголовок 2 Знак"/>
    <w:basedOn w:val="8"/>
    <w:link w:val="3"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16">
    <w:name w:val="List Paragraph"/>
    <w:basedOn w:val="1"/>
    <w:qFormat/>
    <w:uiPriority w:val="34"/>
    <w:pPr>
      <w:ind w:left="720"/>
      <w:contextualSpacing/>
    </w:pPr>
  </w:style>
  <w:style w:type="table" w:customStyle="1" w:styleId="17">
    <w:name w:val="_Style 16"/>
    <w:basedOn w:val="14"/>
    <w:uiPriority w:val="0"/>
    <w:pPr>
      <w:spacing w:after="0" w:line="240" w:lineRule="auto"/>
    </w:pPr>
    <w:tblPr>
      <w:tblCellMar>
        <w:left w:w="108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eB/A7ATdG6WFZppo4QBfwAfFNQ==">CgMxLjAyCGguZ2pkZ3hzOAByITFUb3h1cEZReG5EMl94UmxVZ195TWFBbVNka01EYm1lWQ==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3</Pages>
  <Words>583</Words>
  <Characters>3325</Characters>
  <Lines>27</Lines>
  <Paragraphs>7</Paragraphs>
  <TotalTime>16</TotalTime>
  <ScaleCrop>false</ScaleCrop>
  <LinksUpToDate>false</LinksUpToDate>
  <CharactersWithSpaces>3901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2022-08-23T10:17:00Z</dcterms:created>
  <dc:creator>User</dc:creator>
  <cp:lastModifiedBy>Інна Мацьоха</cp:lastModifiedBy>
  <cp:lastPrinted>2025-12-16T10:41:26Z</cp:lastPrinted>
  <dcterms:modified xsi:type="dcterms:W3CDTF">2025-12-16T10:46:16Z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26692ADCD46C4475B7903EC7A013BA28_13</vt:lpwstr>
  </property>
</Properties>
</file>