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C6" w:rsidRDefault="004539C6" w:rsidP="00D15B29">
      <w:pPr>
        <w:spacing w:before="100" w:beforeAutospacing="1" w:after="100" w:afterAutospacing="1" w:line="240" w:lineRule="auto"/>
        <w:ind w:left="637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uk-UA" w:eastAsia="ru-RU"/>
        </w:rPr>
        <w:t>«ЗАТВЕРДЖУЮ»</w:t>
      </w:r>
    </w:p>
    <w:p w:rsidR="004539C6" w:rsidRDefault="004539C6" w:rsidP="00D15B29">
      <w:pPr>
        <w:spacing w:before="100" w:beforeAutospacing="1" w:after="100" w:afterAutospacing="1" w:line="240" w:lineRule="auto"/>
        <w:ind w:left="432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val="uk-UA" w:eastAsia="ru-RU"/>
        </w:rPr>
      </w:pP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Директор НВК «</w:t>
      </w:r>
      <w:proofErr w:type="spellStart"/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Лисичинський</w:t>
      </w:r>
      <w:proofErr w:type="spellEnd"/>
    </w:p>
    <w:p w:rsidR="004539C6" w:rsidRPr="00D15B29" w:rsidRDefault="004539C6" w:rsidP="00D15B29">
      <w:pPr>
        <w:spacing w:before="100" w:beforeAutospacing="1" w:after="100" w:afterAutospacing="1" w:line="240" w:lineRule="auto"/>
        <w:ind w:left="432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val="uk-UA" w:eastAsia="ru-RU"/>
        </w:rPr>
      </w:pP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 ЗНЗ</w:t>
      </w:r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І-ІІ ступенів ДНЗ»</w:t>
      </w:r>
    </w:p>
    <w:p w:rsidR="004539C6" w:rsidRPr="002A4F8C" w:rsidRDefault="004539C6" w:rsidP="002A4F8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val="uk-UA" w:eastAsia="ru-RU"/>
        </w:rPr>
      </w:pP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________ О.І.Вербовий</w:t>
      </w:r>
    </w:p>
    <w:p w:rsidR="004539C6" w:rsidRPr="00F57712" w:rsidRDefault="004539C6" w:rsidP="00B15F9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План </w:t>
      </w:r>
      <w:proofErr w:type="spellStart"/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заході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в</w:t>
      </w:r>
      <w:proofErr w:type="spell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щодо</w:t>
      </w:r>
      <w:proofErr w:type="spell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проф</w:t>
      </w:r>
      <w:proofErr w:type="gram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ілактики</w:t>
      </w:r>
      <w:proofErr w:type="spell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булінгу</w:t>
      </w:r>
      <w:proofErr w:type="spell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2021/2022</w:t>
      </w:r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навчальний</w:t>
      </w:r>
      <w:proofErr w:type="spellEnd"/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5771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рік</w:t>
      </w:r>
      <w:proofErr w:type="spellEnd"/>
    </w:p>
    <w:tbl>
      <w:tblPr>
        <w:tblW w:w="10773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4"/>
        <w:gridCol w:w="35"/>
        <w:gridCol w:w="107"/>
        <w:gridCol w:w="6675"/>
        <w:gridCol w:w="79"/>
        <w:gridCol w:w="61"/>
        <w:gridCol w:w="35"/>
        <w:gridCol w:w="1679"/>
        <w:gridCol w:w="262"/>
        <w:gridCol w:w="95"/>
        <w:gridCol w:w="1181"/>
      </w:tblGrid>
      <w:tr w:rsidR="004539C6" w:rsidRPr="006E719B" w:rsidTr="003C7113">
        <w:trPr>
          <w:tblCellSpacing w:w="15" w:type="dxa"/>
        </w:trPr>
        <w:tc>
          <w:tcPr>
            <w:tcW w:w="6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DE11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7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Термін</w:t>
            </w:r>
            <w:proofErr w:type="spellEnd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539C6" w:rsidRPr="006E719B" w:rsidTr="00065AC4">
        <w:trPr>
          <w:tblCellSpacing w:w="15" w:type="dxa"/>
        </w:trPr>
        <w:tc>
          <w:tcPr>
            <w:tcW w:w="10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C368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Нормативно-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правове</w:t>
            </w:r>
            <w:proofErr w:type="spell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інформаційне</w:t>
            </w:r>
            <w:proofErr w:type="spell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забезпечення</w:t>
            </w:r>
            <w:proofErr w:type="spell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попередження</w:t>
            </w:r>
            <w:proofErr w:type="spell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насильства</w:t>
            </w:r>
            <w:proofErr w:type="spell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інгу</w:t>
            </w:r>
            <w:proofErr w:type="spellEnd"/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закладу з метою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потенційно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небезпечними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сприятливими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вчинення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539C6" w:rsidRPr="006E719B" w:rsidRDefault="004539C6" w:rsidP="00065A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Наради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директорові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з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категоріями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персонал;</w:t>
            </w:r>
          </w:p>
          <w:p w:rsidR="004539C6" w:rsidRPr="006E719B" w:rsidRDefault="004539C6" w:rsidP="002A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персонал.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5AC4" w:rsidRDefault="00065AC4" w:rsidP="00D67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Педагог - організатор</w:t>
            </w:r>
          </w:p>
          <w:p w:rsidR="004539C6" w:rsidRPr="006E719B" w:rsidRDefault="004539C6" w:rsidP="00D67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</w:tc>
        <w:tc>
          <w:tcPr>
            <w:tcW w:w="14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з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журналу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рішень</w:t>
            </w:r>
            <w:proofErr w:type="spellEnd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ади,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засідань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Янчак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А.Г.</w:t>
            </w:r>
          </w:p>
          <w:p w:rsidR="004539C6" w:rsidRPr="006E719B" w:rsidRDefault="004539C6" w:rsidP="00B27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  <w:p w:rsidR="004539C6" w:rsidRPr="006E719B" w:rsidRDefault="004539C6" w:rsidP="00B27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)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розділу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про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ілактику</w:t>
            </w:r>
            <w:proofErr w:type="spellEnd"/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) і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нормативних</w:t>
            </w:r>
            <w:proofErr w:type="spellEnd"/>
          </w:p>
          <w:p w:rsidR="004539C6" w:rsidRPr="006E719B" w:rsidRDefault="004539C6" w:rsidP="002A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на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закладу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Бакалюк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О.О.</w:t>
            </w:r>
          </w:p>
          <w:p w:rsidR="004539C6" w:rsidRPr="006E719B" w:rsidRDefault="004539C6" w:rsidP="002A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</w:tc>
        <w:tc>
          <w:tcPr>
            <w:tcW w:w="14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методичних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рекомендацій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для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педагогів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з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вивчення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учнівського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колективу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розпізнавання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ознак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насильства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ізних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видів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дітей</w:t>
            </w:r>
            <w:proofErr w:type="spellEnd"/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моніторингу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учні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та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педагогічних</w:t>
            </w:r>
            <w:proofErr w:type="spellEnd"/>
          </w:p>
          <w:p w:rsidR="004539C6" w:rsidRPr="006E719B" w:rsidRDefault="004539C6" w:rsidP="00B605B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працівників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вивчення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причин та умов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виникнення</w:t>
            </w:r>
            <w:proofErr w:type="spellEnd"/>
          </w:p>
          <w:p w:rsidR="004539C6" w:rsidRPr="006E719B" w:rsidRDefault="004539C6" w:rsidP="000A63C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проявів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протиправної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поведінки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учасників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освітнього</w:t>
            </w:r>
            <w:proofErr w:type="spellEnd"/>
            <w:r w:rsidR="003C7113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процесу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113" w:rsidRDefault="004539C6" w:rsidP="003C71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  <w:p w:rsidR="004539C6" w:rsidRPr="006E719B" w:rsidRDefault="004539C6" w:rsidP="003C71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Класні 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року</w:t>
            </w:r>
          </w:p>
        </w:tc>
      </w:tr>
      <w:tr w:rsidR="00065AC4" w:rsidRPr="006E719B" w:rsidTr="00065AC4">
        <w:trPr>
          <w:tblCellSpacing w:w="15" w:type="dxa"/>
        </w:trPr>
        <w:tc>
          <w:tcPr>
            <w:tcW w:w="750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C4" w:rsidRPr="006E719B" w:rsidRDefault="00065AC4" w:rsidP="00B60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 w:eastAsia="ru-RU"/>
              </w:rPr>
            </w:pPr>
          </w:p>
          <w:p w:rsidR="00065AC4" w:rsidRPr="006E719B" w:rsidRDefault="00065AC4" w:rsidP="00B60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 w:eastAsia="ru-RU"/>
              </w:rPr>
            </w:pPr>
          </w:p>
          <w:p w:rsidR="00065AC4" w:rsidRPr="006E719B" w:rsidRDefault="00065AC4" w:rsidP="00B60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 w:eastAsia="ru-RU"/>
              </w:rPr>
            </w:pPr>
          </w:p>
          <w:p w:rsidR="00065AC4" w:rsidRPr="006E719B" w:rsidRDefault="00065AC4" w:rsidP="00B60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Робота з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вчителями</w:t>
            </w:r>
            <w:proofErr w:type="spellEnd"/>
          </w:p>
        </w:tc>
        <w:tc>
          <w:tcPr>
            <w:tcW w:w="31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AC4" w:rsidRDefault="00065AC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</w:pPr>
          </w:p>
          <w:p w:rsidR="00065AC4" w:rsidRDefault="00065AC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</w:pPr>
          </w:p>
          <w:p w:rsidR="00065AC4" w:rsidRDefault="00065AC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</w:pPr>
          </w:p>
          <w:p w:rsidR="00065AC4" w:rsidRPr="006E719B" w:rsidRDefault="00065AC4" w:rsidP="00065A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</w:pP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D354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знати про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Виступ-презентація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Бакалюк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О.О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Default="004539C6" w:rsidP="00D354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ілактика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3C7113" w:rsidRPr="003C7113" w:rsidRDefault="003C7113" w:rsidP="00D354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Янчак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А.Г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D354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Консультування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керівникі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за результатами </w:t>
            </w:r>
          </w:p>
          <w:p w:rsidR="004539C6" w:rsidRPr="006E719B" w:rsidRDefault="004539C6" w:rsidP="00D354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діагностики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іжособистісних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стосунків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з метою </w:t>
            </w:r>
          </w:p>
          <w:p w:rsidR="004539C6" w:rsidRPr="006E719B" w:rsidRDefault="004539C6" w:rsidP="00D354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своєчасного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реагування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кібербулінгу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в </w:t>
            </w:r>
          </w:p>
          <w:p w:rsidR="004539C6" w:rsidRPr="006E719B" w:rsidRDefault="004539C6" w:rsidP="00D354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колективах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Вербовий О.І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</w:t>
            </w: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113" w:rsidRDefault="004539C6" w:rsidP="003C71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превентивного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загальнолюдських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занять,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квестів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дискусій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розмов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колу,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круглих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столів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бесід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539C6" w:rsidRPr="003C7113" w:rsidRDefault="004539C6" w:rsidP="003C71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065AC4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39C6" w:rsidRDefault="004539C6" w:rsidP="00D354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спільно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поліції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</w:p>
          <w:p w:rsidR="003C7113" w:rsidRPr="003C7113" w:rsidRDefault="003C7113" w:rsidP="00D354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shd w:val="clear" w:color="auto" w:fill="auto"/>
          </w:tcPr>
          <w:p w:rsidR="004539C6" w:rsidRPr="006E719B" w:rsidRDefault="004539C6" w:rsidP="00B27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065AC4">
        <w:trPr>
          <w:trHeight w:val="1130"/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0619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Бакалюк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О.О.</w:t>
            </w:r>
          </w:p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</w:tr>
      <w:tr w:rsidR="004539C6" w:rsidRPr="006E719B" w:rsidTr="00065AC4">
        <w:trPr>
          <w:trHeight w:val="255"/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551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Семінар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ізновиди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адміністративне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3C7113" w:rsidRDefault="003C7113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А.Г.</w:t>
            </w:r>
          </w:p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</w:tr>
      <w:tr w:rsidR="004539C6" w:rsidRPr="006E719B" w:rsidTr="00065AC4">
        <w:trPr>
          <w:trHeight w:val="255"/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3C71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711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526250">
        <w:trPr>
          <w:tblCellSpacing w:w="15" w:type="dxa"/>
        </w:trPr>
        <w:tc>
          <w:tcPr>
            <w:tcW w:w="10713" w:type="dxa"/>
            <w:gridSpan w:val="11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  <w:lang w:val="uk-UA" w:eastAsia="ru-RU"/>
              </w:rPr>
            </w:pPr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b/>
                <w:i/>
                <w:sz w:val="32"/>
                <w:szCs w:val="28"/>
                <w:lang w:eastAsia="ru-RU"/>
              </w:rPr>
              <w:t>Робота з батьками</w:t>
            </w:r>
          </w:p>
        </w:tc>
      </w:tr>
      <w:tr w:rsidR="004539C6" w:rsidRPr="006E719B" w:rsidTr="007C605B">
        <w:trPr>
          <w:trHeight w:val="1264"/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зборів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Двічі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Інформування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Наповнення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інформаційними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іалами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сайту,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сторінки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шкільної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газети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пам'ятки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д</w:t>
            </w:r>
            <w:r w:rsidR="003C7113">
              <w:rPr>
                <w:rFonts w:ascii="Times New Roman" w:hAnsi="Times New Roman"/>
                <w:sz w:val="28"/>
                <w:szCs w:val="24"/>
                <w:lang w:eastAsia="ru-RU"/>
              </w:rPr>
              <w:t>ля </w:t>
            </w:r>
            <w:proofErr w:type="spellStart"/>
            <w:r w:rsidR="003C7113">
              <w:rPr>
                <w:rFonts w:ascii="Times New Roman" w:hAnsi="Times New Roman"/>
                <w:sz w:val="28"/>
                <w:szCs w:val="24"/>
                <w:lang w:eastAsia="ru-RU"/>
              </w:rPr>
              <w:t>батьків</w:t>
            </w:r>
            <w:proofErr w:type="spellEnd"/>
            <w:r w:rsidR="003C7113">
              <w:rPr>
                <w:rFonts w:ascii="Times New Roman" w:hAnsi="Times New Roman"/>
                <w:sz w:val="28"/>
                <w:szCs w:val="24"/>
                <w:lang w:eastAsia="ru-RU"/>
              </w:rPr>
              <w:t> про порядок </w:t>
            </w:r>
            <w:proofErr w:type="spellStart"/>
            <w:r w:rsidR="003C7113">
              <w:rPr>
                <w:rFonts w:ascii="Times New Roman" w:hAnsi="Times New Roman"/>
                <w:sz w:val="28"/>
                <w:szCs w:val="24"/>
                <w:lang w:eastAsia="ru-RU"/>
              </w:rPr>
              <w:t>реагуван</w:t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способи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повідомлення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про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випадки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цькування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)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дітей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, заходи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захисту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надання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допомоги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дітям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Консультування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батьків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захисту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прав 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інтересі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дітей</w:t>
            </w:r>
            <w:proofErr w:type="spellEnd"/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керівник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року</w:t>
            </w:r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  <w:p w:rsidR="004539C6" w:rsidRPr="006E719B" w:rsidRDefault="004539C6" w:rsidP="005262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Залучення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громадських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батьківських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молодіжних</w:t>
            </w:r>
            <w:proofErr w:type="spellEnd"/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організацій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фахівців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служб   </w:t>
            </w:r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у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справах  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дітей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 та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ювенальної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превенції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з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надання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правової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,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психологічної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соц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іальної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іншої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допомоги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59" w:type="dxa"/>
            <w:gridSpan w:val="5"/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Вербовий О.І.</w:t>
            </w:r>
          </w:p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Я.С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Батьківський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всеобуч на тему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Безпечне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іністративні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стягнення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порушників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Янчак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А.Г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батькам, 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зменшити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9C6" w:rsidRPr="006E719B" w:rsidTr="007C605B">
        <w:trPr>
          <w:trHeight w:val="323"/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6250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526250" w:rsidRPr="006E719B" w:rsidRDefault="00526250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50" w:rsidRPr="006E719B" w:rsidRDefault="00526250" w:rsidP="00526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26250" w:rsidRPr="006E719B" w:rsidRDefault="00526250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250" w:rsidRPr="006E719B" w:rsidRDefault="00526250" w:rsidP="0052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AC4" w:rsidRPr="006E719B" w:rsidTr="003C7113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5AC4" w:rsidRPr="006E719B" w:rsidRDefault="00065AC4" w:rsidP="005262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101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AC4" w:rsidRPr="006E719B" w:rsidRDefault="00065AC4" w:rsidP="005262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 xml:space="preserve">Робота з </w:t>
            </w:r>
            <w:proofErr w:type="spellStart"/>
            <w:r w:rsidRPr="006E719B">
              <w:rPr>
                <w:rFonts w:ascii="Times New Roman" w:hAnsi="Times New Roman"/>
                <w:b/>
                <w:i/>
                <w:sz w:val="32"/>
                <w:szCs w:val="24"/>
                <w:lang w:eastAsia="ru-RU"/>
              </w:rPr>
              <w:t>дітьми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бесід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відеолекцій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участю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громадських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провідних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спеціалістів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ізатор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керівники</w:t>
            </w:r>
            <w:proofErr w:type="spellEnd"/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Систематичне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ситуацій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113" w:rsidRPr="003C7113" w:rsidRDefault="004539C6" w:rsidP="003C71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Я.С.</w:t>
            </w:r>
          </w:p>
          <w:p w:rsidR="004539C6" w:rsidRPr="006E719B" w:rsidRDefault="003C7113" w:rsidP="003C71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539C6"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Перегляд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школярами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відеофільмі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пам’яток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протидіяти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ізатор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лінійки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засілання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5-9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-их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«Все про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доброзичливого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Як себе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захистити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?»,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нею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керувати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?», «Як правильно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дружити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«Причини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Конфлікт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ізатор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5-х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ілактика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229" w:type="dxa"/>
            <w:gridSpan w:val="2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впоратися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інгом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Бакалюк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2-4-х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6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знаю про 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Я.С</w:t>
            </w:r>
          </w:p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2-9-х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</w:tr>
      <w:tr w:rsidR="004539C6" w:rsidRPr="006E719B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протистояти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відстоювати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власну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5-6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3C7113" w:rsidRPr="003C7113" w:rsidRDefault="003C7113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Бакалюк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</w:tr>
      <w:tr w:rsidR="004539C6" w:rsidRPr="00C61BD3" w:rsidTr="007C605B">
        <w:trPr>
          <w:tblCellSpacing w:w="15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2-9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родині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C6" w:rsidRPr="006E719B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9C6" w:rsidRPr="00B27E58" w:rsidRDefault="004539C6" w:rsidP="005262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</w:tr>
    </w:tbl>
    <w:p w:rsidR="006E719B" w:rsidRDefault="006E719B" w:rsidP="00526250">
      <w:pPr>
        <w:rPr>
          <w:lang w:val="uk-UA"/>
        </w:rPr>
      </w:pPr>
    </w:p>
    <w:p w:rsidR="004539C6" w:rsidRPr="00B0653B" w:rsidRDefault="004539C6" w:rsidP="00526250">
      <w:pPr>
        <w:rPr>
          <w:lang w:val="uk-UA"/>
        </w:rPr>
      </w:pPr>
    </w:p>
    <w:sectPr w:rsidR="004539C6" w:rsidRPr="00B0653B" w:rsidSect="00DE113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6B98"/>
    <w:multiLevelType w:val="hybridMultilevel"/>
    <w:tmpl w:val="C7CA2A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9A"/>
    <w:rsid w:val="000619FB"/>
    <w:rsid w:val="00065AC4"/>
    <w:rsid w:val="000A63CB"/>
    <w:rsid w:val="001E799A"/>
    <w:rsid w:val="00273A55"/>
    <w:rsid w:val="002A4F8C"/>
    <w:rsid w:val="00363150"/>
    <w:rsid w:val="003C7113"/>
    <w:rsid w:val="004539C6"/>
    <w:rsid w:val="004802EF"/>
    <w:rsid w:val="004B6159"/>
    <w:rsid w:val="00526250"/>
    <w:rsid w:val="0055517C"/>
    <w:rsid w:val="00622A89"/>
    <w:rsid w:val="006E719B"/>
    <w:rsid w:val="00711232"/>
    <w:rsid w:val="00717C3C"/>
    <w:rsid w:val="00742615"/>
    <w:rsid w:val="007C605B"/>
    <w:rsid w:val="009257EC"/>
    <w:rsid w:val="009E3E29"/>
    <w:rsid w:val="00B0653B"/>
    <w:rsid w:val="00B15F9A"/>
    <w:rsid w:val="00B27E58"/>
    <w:rsid w:val="00B605B9"/>
    <w:rsid w:val="00C1782C"/>
    <w:rsid w:val="00C36808"/>
    <w:rsid w:val="00C61BD3"/>
    <w:rsid w:val="00D15B29"/>
    <w:rsid w:val="00D35475"/>
    <w:rsid w:val="00D67C26"/>
    <w:rsid w:val="00DE1132"/>
    <w:rsid w:val="00F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9A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Grizli</cp:lastModifiedBy>
  <cp:revision>6</cp:revision>
  <cp:lastPrinted>2021-09-21T19:34:00Z</cp:lastPrinted>
  <dcterms:created xsi:type="dcterms:W3CDTF">2021-08-19T13:52:00Z</dcterms:created>
  <dcterms:modified xsi:type="dcterms:W3CDTF">2021-10-31T17:10:00Z</dcterms:modified>
</cp:coreProperties>
</file>