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FB" w:rsidRPr="002B44FB" w:rsidRDefault="002B44FB" w:rsidP="002B44FB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  <w:r w:rsidRPr="002B44FB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Нормативна база інклюзивної освіти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uk-UA"/>
        </w:rPr>
      </w:pPr>
      <w:bookmarkStart w:id="0" w:name="_GoBack"/>
      <w:bookmarkEnd w:id="0"/>
      <w:r w:rsidRPr="002B44F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u w:val="single"/>
          <w:lang w:eastAsia="uk-UA"/>
        </w:rPr>
        <w:t>Інформаційні ресурси у сфері інклюзивної освіти: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Загальна декларація прав людини (проголошена ООН 10 грудня 1948 року):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hyperlink r:id="rId4" w:history="1">
        <w:r w:rsidRPr="002B44F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uk-UA"/>
          </w:rPr>
          <w:t>www.minjust.gov.ua/udhra/udhr.html</w:t>
        </w:r>
      </w:hyperlink>
    </w:p>
    <w:p w:rsidR="002B44FB" w:rsidRPr="002B44FB" w:rsidRDefault="002B44FB" w:rsidP="002B44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2B44FB">
        <w:rPr>
          <w:rFonts w:ascii="Tahoma" w:eastAsia="Times New Roman" w:hAnsi="Tahoma" w:cs="Tahoma"/>
          <w:noProof/>
          <w:color w:val="326693"/>
          <w:sz w:val="18"/>
          <w:szCs w:val="18"/>
          <w:lang w:eastAsia="uk-UA"/>
        </w:rPr>
        <w:drawing>
          <wp:inline distT="0" distB="0" distL="0" distR="0" wp14:anchorId="18EAAB87" wp14:editId="74ABE73F">
            <wp:extent cx="3048000" cy="3048000"/>
            <wp:effectExtent l="0" t="0" r="0" b="0"/>
            <wp:docPr id="1" name="Рисунок 1" descr="Зображенн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Конвенція ООН про права дитини (прийнята 20 листопада 1989 року, ратифікована Постановою Верховної Ради України від 27 лютого 1991 року)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hyperlink r:id="rId7" w:history="1">
        <w:r w:rsidRPr="002B44FB">
          <w:rPr>
            <w:rFonts w:ascii="Arial" w:eastAsia="Times New Roman" w:hAnsi="Arial" w:cs="Arial"/>
            <w:b/>
            <w:bCs/>
            <w:color w:val="326693"/>
            <w:sz w:val="24"/>
            <w:szCs w:val="24"/>
            <w:u w:val="single"/>
            <w:lang w:eastAsia="uk-UA"/>
          </w:rPr>
          <w:t>www.chl.kiev.ua/UKR/konv_u.htm</w:t>
        </w:r>
      </w:hyperlink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Декларація про права інвалідів (проголошена ООН  9 грудня 1975 року)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www.zakon.rada.gov.ua/cgi-bin/laws/main.cgi?nreg=995_117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Стандартні правила забезпечення рівних можливостей для інвалідів (прийняті резолюцією 48/96 Генеральної Асамблеї від 20 грудня 1993 року)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www.zakon.rada.gov.ua/cgi-bin/laws/main.cgi?nreg=995_306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-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Саламанкська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декларація про принципи, політику та практичну діяльність у сфері освіти осіб із особливими потребами (7-10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июня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1994 р.)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www.notabene.ru/down_syndrome/Rus/declarat.html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Закон “Про освіту” (прийнятий 23 травня 1991 року N 1060-XII)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www.zakon.rada.gov.ua/cgi-bin/laws/main.cgi?nreg=1060-12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Закон України "Про основи соціальної захищеності інвалідів в Україні" (21 березня 1991 року N 875-XII)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www.zakon.rada.gov.ua/cgi-bin/laws/main.cgi?nreg=875-12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Закон України “Про охорону дитинства” (прийнятий 26 квітня 2001 року N 2402-III 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lastRenderedPageBreak/>
        <w:t>www.zakon.rada.gov.ua/cgi-bin/laws/main.cgi?nreg=2402-14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Закон України “Про реабілітацію інвалідів в Україні” (прийнятий 6 жовтня 2005 року N 2961-IV)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www.zakon1.rada.gov.ua/cgi-bin/laws/main.cgi?nreg=2961-15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Концепція державного стандарту спеціальної освіти дітей з особливими потребами (схвалена рішенням колегії Міністерства освіти і науки та Президії Академії педагогічних наук України 23.06.99)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www2.znz.edu-ua.net/storage/195.doc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Концепція Державної програми розвитку освіти на 2006-2010 роки (схвалена розпорядженням Кабінету Міністрів України від 12 липня 2006 року №396-р)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www.uazakon.com/document/fpart15/idx15806.htm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Державна типова програма реабілітації інвалідів (затверджена постановою Кабінету Міністрів України від 8 грудня 2006р. №1686)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www.gdo.kiev.ua/files/db.php?st=3311&amp;god=2006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Постанова Кабінету Міністрів України “Про схвалення Концепції ранньої соціальної реабілітації дітей-інвалідів” (від 12 жовтня 2000 р. N 1545)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www2.znz.edu-ua.net/storage/95.txt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Постанова Кабінету Міністрів України “Про затвердження Державного стандарту початкової загальної освіти для дітей, які потребують корекції фізичного та (або) розумового розвитку”(прийнята 5 липня 2004 р. N 848)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www.uazakon.com/document/fpart68/idx68267.htm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Указ Президента України “Про додаткові заходи щодо посилення соціального захисту інвалідів та проведення в Україні у 2003 році Року людей з інвалідністю” (02.12.2002  № 1112/2002)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www.zakon.rada.gov.ua/cgi-bin/laws/main.cgi?nreg=1112%2F2002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Указ Президента України «Про першочергові заходи щодо створення сприятливих умов життєдіяльності осіб з обмеженими фізичними можливостями» (від 01.06.2005 р. № 900/2005)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www.zakon.rada.gov.ua/cgi-bin/laws/main.cgi?nreg=900%2F2005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Указ Президента України “Про невідкладні заходи щодо забезпечення  функціонування та розвитку освіти в Україні” (від 4 липня 2005 року N 1013/2005)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www.zakon.rada.gov.ua/cgi-bin/laws/main.cgi?nreg=1013%2F2005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Указ Президента України “Про додаткові невідкладні заходи щодо створення сприятливих умов для життєдіяльності осіб з обмеженими  фізичними можливостями” (від 18 грудня 2007 року N 1228/2007)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www.zakon.rada.gov.ua/cgi-bin/laws/main.cgi?nreg=1228%2F2007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lastRenderedPageBreak/>
        <w:t>- www.education-inclusive.com/uk/index.php - канадсько-український проект «Інклюзивна освіта для дітей з особливими потребами в Україні»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www.clientcenter.youcandothat.com/www-dev/ccds/uk/components.php - офіційний сайт проекту «Інклюзивна освіта для дітей з особливими потребами в Україні»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http://www.canada-ukraine.org/ — Електронний Канадсько-український журнал спеціальної педагогіки, розміщений на сайті Канадсько-української дослідної групи (CURT)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http://www.isp-2006.narod.ru/ — Сайт інституту спеціальної педагогіки АПН України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- http://www.ikpp.npu.edu.ua/ — Сайт інституту корекційної педагогіки та психології Національного педагогічного університету імені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М.П.Драгоманова</w:t>
      </w:r>
      <w:proofErr w:type="spellEnd"/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http://www.naiu.org.ua/ - Національна Асамблея інвалідів України, Всеукраїнське громадське соціально-політичне об’єднання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http://www.everychild.org.ua/ — сайт представництва міжнародної неурядової організації “Кожній Дитині” в Україні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http://www.info.rehab.org.ua/ – "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Реабiлiтацiйний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простiр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"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Iнтернет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-портал Наукового товариства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iнвалiдiв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"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Iнститут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Соцiальної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полiтики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" (http://www.rehab.org.ua/)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Звіт з прав дітей з особливими потребами на проживання у місцевій громаді. www.osmhi.org/index.php?page=202&amp;news=363&amp;pages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Звіт розроблений Європейською коаліцією з проживання у громаді і був представлений під час конференції, що проводилась у Європейський день осіб з особливими потребами.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www.osmhi.org/index.php?page=202&amp;news=362&amp;pages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Люди з вадами розвитку: жити так, як живуть інші.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Адаптована конвенція ООН щодо осіб з особливими потребами. Нью-Йорк, 13 грудня 2006р. www.osmhi.org/index.php?page=200&amp;news=401&amp;pages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Звіт щодо умов та перспектив розвитку інституцій для дітей у Болгарії і прогрес, здійснений щодо виконання державних зобов’язань відповідно Конвенції ООН про права дітей (2003р.) www.osmhi.org/index.php?page=202&amp;news=493&amp;pages=1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Партнери заради кращої політики: посібник із включення (доступний на десяти мовах)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www.osmhi.org/index.php?page=202&amp;news=335&amp;pages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- Закон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антидискримінації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: порівняльне дослідження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www.osmhi.org/index.php?page=202&amp;news=505&amp;pages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- Матеріали сайту Всеукраїнського фонду «Крок за кроком» http://ussf.kiev.ua/index.php?go=Inklus&amp;id=4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uk-UA"/>
        </w:rPr>
        <w:lastRenderedPageBreak/>
        <w:t>Нормативно – законодавча база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uk-UA"/>
        </w:rPr>
        <w:t>у роботі вчителів-логопедів та вчителів – дефектологів: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Конституція України Розділ І, ст..№3, розділ ІІ, ст..№21,23,27,49.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Конвенція ООН про права дитини (прийнята  20 лист. 1998).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Закони України « Про освіту», « Про дошкільну освіту», « Про охорону дитинства».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Закон України "Про освіту осіб з обмеженими можливостями здоров'я (спеціальну освіту)"( від 05.10.2004р. №6218) (проект)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Базовий компонент дошкільної освіти в Україні.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     Базова програма розвитку дитини дошкільного віку « Я у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Cвіті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».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     Положення про дошкільний навчальний заклад,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затв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. Постановою кабінету міністрів України від 12.03.2003.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Міжвідомча інструкція про організацію роботи та комплектування дошкільних виховних закладів компенсуючого типу (наказ № 250І 149 від 12.08.94).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Інструкція про ділову документацію в дошкільних закладах (наказ Міносвіти України № 32 від 30.01.98 р.).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     Посадова інструкція вчителя-логопеда, вчителя - дефектолога ДНЗ та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логопункта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 Концепція спеціальної освіти осіб з особливостями психофізичного розвитку в найближчі роки та на перспективу. (1996р.);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     Концепція Державного стандарту освіти учнів з порушенням мовленнєвого розвитку (2000р.) (автор: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В.Тарасун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); -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     Концепція стандарту спеціальної освіти дітей дошкільного віку з порушеннями мовленнєвого розвитку (2002р.) (автор: Є.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Соботович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   Наказ Міністерства освіти України від 13.05.1993 № 135 «Положення про логопедичні пункти системи освіти» 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Основні міжнародні документи в галузі інклюзивної освіти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 основі інклюзії лежить право людини на освіту, проголошене у Всесвітній декларації прав людини у 1948 році, де зазначається: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«Кожен має право на освіту…освіта має бути спрямована на розвиток людської особистості та посилення поваги до прав людини та основних свобод…».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Однаково важливими є положення «Конвенції про права дитини» (ООН, 1989), такі як право дитини не зазнавати дискримінації, зазначене у статті 2 та статті 23. Зокрема, у статті 23 йдеться, що дитина з особливими освітніми потребами повинна мати: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lastRenderedPageBreak/>
        <w:t>«доступ до освіти, виховання, медичного обслуговування, реабілітаційних послуг, професійної підготовки, максимально можливої соціальної інтеграції та індивідуального розвитку, включаючи його чи її культурний та духовний розвиток».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Стаття 29 «Цілі освіти» зазначає, що освіта дитини має бути спрямована на розвиток особи,  талантів, розумових і фізичних здібностей дитини в найповнішому обсязі, освіта повинна сприяти розвитку потенціалу дитини в усіх сферах.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Логічним наслідком цих документів є  те, що всі діти мають право на освіту, яка не дискримінує їх у жодних сферах, таких як етнічні, релігійні, статеві,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мовні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відмінності, економічне становище, особливі потреби.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Підхід до освіти на основі прав ґрунтується на трьох принципах: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1.     Доступна та обов’язкова освіти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2.     Рівність, інклюзія та відсутність дискримінації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3.     Право на якісну освіту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Рух назустріч інклюзії включає в себе ряд змін на рівні цілого суспільства та малої громади, які супроводжуються розробкою правових норм на міжнародному рівні.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Вперше інклюзія була підтримана Всесвітньою декларацією прав людини  у 1948 р. і знаходить відображення у всіх міжнародних документах у сфері освіти.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Всесвітня Декларація прав людини, 1948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Гарантує право на безкоштовну і обов’язкову освіту для всіх дітей.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Декларація прав дитини, 1959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Принцип 5. Дитина, яка є неповноцінною у фізичному, психічному або соціальному відношенні, повинна забезпечуватися спеціальним режимом, освітою і піклуванням, необхідним зважаючи на її особливий стан.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Принцип 10. Дитина має бути захищена від практики, яка може заохочувати расову, релігійну або будь-яку іншу форму дискримінації. Вона повинна виховуватися в дусі взаєморозуміння, терпимості, дружби між народами, миру й загального братерства, а також у повному усвідомленні, що її енергія та здібності мають бути присвячені служінню на користь інших людей.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Конвенція ООН «Про права дитини», 1989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ратифікована Україною у 1991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Стаття 23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Держави-учасниці  визнають,  що  неповносправна в розумовому або фізичному відношенні дитина має вести  повноцінне  й достойне життя  в  умовах,  які забезпечують її гідність,  сприяють почуттю впевненості  в  собі  й  полегшують  її  активну  участь  у  житті суспільства.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Всесвітня декларація «Освіта для всіх», 1990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lastRenderedPageBreak/>
        <w:t>Освіта для всіх означає гарантію всім дітям їхнього права на доступ до якісної базової освіти.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Стандартні правила ООН щодо зрівняння  можливостей інвалідів», 1993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У цих Правилах міститься заклик до всіх держав зробити освіту осіб із фізичними та розумовими вадами невід’ємною частиною системи освіти.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Саламанська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Декларація, 1994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Містить заклик до урядів всіх країн затвердити на законодавчому рівні принцип інклюзивної освіти та приймати до загальноосвітніх шкіл усіх дітей, якщо не має виняткових випадків, які унеможливлюють це.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Програма дій щодо освіти осіб з особливими освітніми потребами, 1994р.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Мета програми полягає в тому, щоб слугувати основою для вироблення політики й спрямовувати діяльність урядів, міжнародних організацій, національних установ з надання допомоги у реалізації положень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Саламанської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декларації.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Кожна особа з проблемами розвитку  має право виявити власні побажання щодо своєї освіти в тій мірі, в якій це може бути точно встановлено. Батьки користуються невід’ємним правом на те, щоб з ними консультувалися стосовно форм освіти, які б найкращим чином відповідали потребам, обставинам життя чи сподіванням їхніх дітей.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Дакарська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 Декларація, 2000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Цілі освіти тисячоліття – переконання, що всі діти матимуть доступ до обов’язкової освіти до 2015р., -  ставить в центр уваги осіб з певними обмеженнями та дівчат.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Конвенція ООН щодо осіб з особливими потребами (ще розробляється) 2005р.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Відстоює права людей з особливими потребами на освіту без будь-якої дискримінації.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Міжнародні організації, що формують політику в галузі інклюзивної освіти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Важливим рушієм поширення інклюзії є міжнародні організації, які проводять дослідження, розробляють рекомендації для урядів різних країн, сприяють розвиткові інклюзивної політики. Такими організаціями, насамперед, є: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Організація Об`єднаних Націй (ООН)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Ряд керівних документів ООН спрямовано на розгортання та підтримку інклюзивної освіти. Основні заклики ООН 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·        зауважують, що для того, аби втілювати інклюзивну освіту, держави мають застосовувати гнучкі навчальні програми, які можна адаптувати до різних потреб дітей;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·        зосереджують увагу на тому, що необхідно впроваджувати безперервне навчання вчителів та надавати їм всебічну підтримку;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·        відзначають, що місцеві громади мають формувати ресурси для забезпечення такої освіти.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lastRenderedPageBreak/>
        <w:t>ЮНЕСКО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Зусиллями ЮНЕСКО було організовано кілька Всесвітніх конференцій з питань освіти для людей з особливими освітніми потребами.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Серед найвизначніших – конференція в місті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Саламанка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(Іспанія), у якій взяли участь 92 уряди та 25 міжнародних організацій (1994 р.).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Саламанська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декларація містить Заклик до урядів усіх країн затвердити на законодавчому рівні інклюзивну модель освіти та приймати до загальноосвітніх шкіл усіх дітей, якщо немає виняткових випадків, які унеможливлюють це.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Таким чином, було запропоновано, щоб інклюзія стала загальною формою освіти, а спецшколи або </w:t>
      </w:r>
      <w:proofErr w:type="spellStart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спецкласи</w:t>
      </w:r>
      <w:proofErr w:type="spellEnd"/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 xml:space="preserve"> існували для виняткових ситуацій.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Положення Декларації спонукають уряди до розвитку інклюзивної освіти, а саме: до докладання більших зусиль для розвитку дошкільних стратегій та професійної освіти, забезпечення організації та реалізації програм підготовки педагогів і підвищення їхньої кваліфікації з огляду на принципи інклюзивної освіти. Остання конференція відбулася в Дакарі у 2000 р.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Організація Економічної Співпраці та Розвитку (OECD) тісно співпрацює з ЮНЕСКО і EUROSTAT і є найбільшим статистичним центром Європейського Союзу.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Одним з її операційних підрозділів є Центр освітніх досліджень та інновацій, який ініціює дослідження та втілення проектів, що мають на меті впровадження реформ. Низка досліджень, які проводила ОЕСD у різних країнах, забезпечила такі </w:t>
      </w:r>
      <w:r w:rsidRPr="002B44F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uk-UA"/>
        </w:rPr>
        <w:t>основні висновки: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а) концепція соціальної справедливості, яка ґрунтується на правах людини, зазначає всюди, де це можливо: діти з особливими потребами мають навчатися у загальноосвітніх, а не в окремих навчальних закладах;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б) різноманітні національні підходи до залучення дітей з особливими потребами до загальноосвітніх закладів забезпечують цінний досвід для ширших дебатів про освітню різноманітність й справедливість.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Виходячи із зазначеної концепції соціальної рівності та справедливості, учні з особливими освітніми потребами мають досягти таких самих навчальних результатів, як і їхні однолітки.</w:t>
      </w:r>
    </w:p>
    <w:p w:rsidR="002B44FB" w:rsidRPr="002B44FB" w:rsidRDefault="002B44FB" w:rsidP="002B44FB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2B44FB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 Це є певним викликом, який веде до питання різних рівнів або варіантів результатів навчання для учнів з особливими потребами. Підхід, що базується на правах людини, має забезпечувати прогрес і, відповідно, оцінювання індивідуального прогресу упродовж засвоєння навчальної програми.</w:t>
      </w:r>
    </w:p>
    <w:p w:rsidR="00236CB7" w:rsidRDefault="00236CB7"/>
    <w:sectPr w:rsidR="00236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C"/>
    <w:rsid w:val="00236CB7"/>
    <w:rsid w:val="002B44FB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A48F-5122-4936-9126-214B3F1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928">
                  <w:marLeft w:val="10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4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5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l.kiev.ua/UKR/konv_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1.bp.blogspot.com/-C9aei-j2sUM/VkOOY4oNSbI/AAAAAAAAALU/uk5dd0poITE/s1600/img24.gif" TargetMode="External"/><Relationship Id="rId4" Type="http://schemas.openxmlformats.org/officeDocument/2006/relationships/hyperlink" Target="http://www.minjust.gov.ua/udhra/udh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9319</Words>
  <Characters>5312</Characters>
  <Application>Microsoft Office Word</Application>
  <DocSecurity>0</DocSecurity>
  <Lines>44</Lines>
  <Paragraphs>29</Paragraphs>
  <ScaleCrop>false</ScaleCrop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2021-01-27T13:55:00Z</dcterms:created>
  <dcterms:modified xsi:type="dcterms:W3CDTF">2021-01-27T13:56:00Z</dcterms:modified>
</cp:coreProperties>
</file>