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80" w:rsidRDefault="00610EA3" w:rsidP="00610EA3">
      <w:pPr>
        <w:pStyle w:val="a6"/>
        <w:spacing w:before="24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 w:eastAsia="en-US"/>
        </w:rPr>
        <w:t>Моніторинг</w:t>
      </w:r>
      <w:r w:rsidRPr="00AB17FE">
        <w:rPr>
          <w:rFonts w:ascii="Times New Roman" w:hAnsi="Times New Roman"/>
          <w:b/>
          <w:sz w:val="28"/>
          <w:szCs w:val="28"/>
          <w:lang w:val="uk-UA" w:eastAsia="en-US"/>
        </w:rPr>
        <w:t xml:space="preserve"> організації освітнього процесу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</w:p>
    <w:p w:rsidR="00610EA3" w:rsidRPr="00AB17FE" w:rsidRDefault="00610EA3" w:rsidP="00610EA3">
      <w:pPr>
        <w:pStyle w:val="a6"/>
        <w:spacing w:before="24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КЗ «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en-US"/>
        </w:rPr>
        <w:t>Лозівський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ліцей №8» за 2021/2022 навчальний рік</w:t>
      </w:r>
    </w:p>
    <w:bookmarkEnd w:id="0"/>
    <w:p w:rsidR="00610EA3" w:rsidRPr="00AB17FE" w:rsidRDefault="00610EA3" w:rsidP="00610EA3">
      <w:pPr>
        <w:pStyle w:val="a5"/>
        <w:spacing w:before="0" w:beforeAutospacing="0" w:after="0" w:afterAutospacing="0"/>
        <w:jc w:val="both"/>
        <w:rPr>
          <w:rStyle w:val="11"/>
          <w:sz w:val="28"/>
          <w:szCs w:val="28"/>
          <w:lang w:val="uk-UA" w:eastAsia="zh-CN"/>
        </w:rPr>
      </w:pPr>
      <w:r w:rsidRPr="00AB17FE">
        <w:rPr>
          <w:rStyle w:val="11"/>
          <w:sz w:val="28"/>
          <w:szCs w:val="28"/>
          <w:lang w:val="uk-UA"/>
        </w:rPr>
        <w:t xml:space="preserve"> </w:t>
      </w:r>
      <w:r w:rsidRPr="00AB17FE">
        <w:rPr>
          <w:rStyle w:val="11"/>
          <w:sz w:val="28"/>
          <w:szCs w:val="28"/>
          <w:lang w:val="uk-UA"/>
        </w:rPr>
        <w:tab/>
        <w:t>За підсумками 2021/2022 навчального року із 286  учнів 5-11-х класів, які підлягали атестації, закінчили рік на високому і достатньому рівнях 107 учнів (37,5%), на середньому рівні – 172 учня (60%), на початковому рівні – 7 учнів (2,5%).</w:t>
      </w:r>
    </w:p>
    <w:p w:rsidR="00610EA3" w:rsidRPr="00DC0280" w:rsidRDefault="00610EA3" w:rsidP="00DC0280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B17FE">
        <w:rPr>
          <w:rStyle w:val="11"/>
          <w:sz w:val="28"/>
          <w:szCs w:val="28"/>
          <w:lang w:val="uk-UA"/>
        </w:rPr>
        <w:t xml:space="preserve">          Найвищу якість знань показали учні, 6А, 6Б, 10, 11 класів. найнижчу – учні 9Б класу. Початковий рівень навчальних досягнень мають учні 9-Б, 11</w:t>
      </w:r>
      <w:r w:rsidRPr="00AB17FE">
        <w:rPr>
          <w:rStyle w:val="11"/>
          <w:lang w:val="uk-UA"/>
        </w:rPr>
        <w:t xml:space="preserve"> </w:t>
      </w:r>
      <w:r w:rsidRPr="00AB17FE">
        <w:rPr>
          <w:rStyle w:val="11"/>
          <w:sz w:val="28"/>
          <w:szCs w:val="28"/>
          <w:lang w:val="uk-UA"/>
        </w:rPr>
        <w:t>класів. Найбільшу кількість початкового рівня з навчальних предметів  мають учні 9-Б класу.</w:t>
      </w:r>
    </w:p>
    <w:p w:rsidR="00610EA3" w:rsidRPr="00AB17FE" w:rsidRDefault="00610EA3" w:rsidP="00DC0280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AB17FE">
        <w:rPr>
          <w:rFonts w:ascii="Times New Roman" w:hAnsi="Times New Roman"/>
          <w:b/>
          <w:sz w:val="28"/>
          <w:szCs w:val="28"/>
          <w:lang w:val="uk-UA"/>
        </w:rPr>
        <w:t>Рівень навчальних досягнень учнів</w:t>
      </w:r>
    </w:p>
    <w:p w:rsidR="00610EA3" w:rsidRPr="00AB17FE" w:rsidRDefault="00610EA3" w:rsidP="00610E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17FE">
        <w:rPr>
          <w:rFonts w:ascii="Times New Roman" w:hAnsi="Times New Roman"/>
          <w:b/>
          <w:sz w:val="28"/>
          <w:szCs w:val="28"/>
          <w:lang w:val="uk-UA"/>
        </w:rPr>
        <w:t>Моніторинг успішності учнів закладу</w:t>
      </w:r>
    </w:p>
    <w:tbl>
      <w:tblPr>
        <w:tblW w:w="14929" w:type="dxa"/>
        <w:jc w:val="center"/>
        <w:tblInd w:w="7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1275"/>
        <w:gridCol w:w="1063"/>
        <w:gridCol w:w="1063"/>
        <w:gridCol w:w="1063"/>
        <w:gridCol w:w="1063"/>
        <w:gridCol w:w="1063"/>
        <w:gridCol w:w="1063"/>
        <w:gridCol w:w="1063"/>
        <w:gridCol w:w="1064"/>
        <w:gridCol w:w="2172"/>
      </w:tblGrid>
      <w:tr w:rsidR="00610EA3" w:rsidRPr="00AB17FE" w:rsidTr="00163183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ind w:left="-64" w:firstLine="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учнів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атестованих учнів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610EA3" w:rsidRPr="00AB17FE" w:rsidTr="00163183">
        <w:trPr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Достатній рівень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0EA3" w:rsidRPr="00AB17FE" w:rsidTr="00163183">
        <w:trPr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0EA3" w:rsidRPr="00AB17FE" w:rsidTr="0016318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13,4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57,5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41,6%</w:t>
            </w:r>
          </w:p>
        </w:tc>
      </w:tr>
      <w:tr w:rsidR="00610EA3" w:rsidRPr="00AB17FE" w:rsidTr="0016318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26,1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36,8%</w:t>
            </w:r>
          </w:p>
        </w:tc>
      </w:tr>
      <w:tr w:rsidR="00610EA3" w:rsidRPr="00AB17FE" w:rsidTr="0016318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57,4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39,7%</w:t>
            </w:r>
          </w:p>
        </w:tc>
      </w:tr>
      <w:tr w:rsidR="00610EA3" w:rsidRPr="00AB17FE" w:rsidTr="0016318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344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21,5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66,3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30,5%</w:t>
            </w:r>
          </w:p>
        </w:tc>
      </w:tr>
      <w:tr w:rsidR="00610EA3" w:rsidRPr="00AB17FE" w:rsidTr="0016318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8,4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29,1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AB17FE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37,5%</w:t>
            </w:r>
          </w:p>
        </w:tc>
      </w:tr>
    </w:tbl>
    <w:p w:rsidR="00610EA3" w:rsidRPr="00174F13" w:rsidRDefault="00610EA3" w:rsidP="00610E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4F13">
        <w:rPr>
          <w:rFonts w:ascii="Times New Roman" w:hAnsi="Times New Roman"/>
          <w:sz w:val="28"/>
          <w:szCs w:val="28"/>
          <w:lang w:val="uk-UA"/>
        </w:rPr>
        <w:t xml:space="preserve">У 10-11-х класах </w:t>
      </w:r>
      <w:r>
        <w:rPr>
          <w:rFonts w:ascii="Times New Roman" w:hAnsi="Times New Roman"/>
          <w:sz w:val="28"/>
          <w:szCs w:val="28"/>
          <w:lang w:val="uk-UA"/>
        </w:rPr>
        <w:t xml:space="preserve">у 2021/2022 навчальному році </w:t>
      </w:r>
      <w:r w:rsidRPr="00174F13">
        <w:rPr>
          <w:rFonts w:ascii="Times New Roman" w:hAnsi="Times New Roman"/>
          <w:sz w:val="28"/>
          <w:szCs w:val="28"/>
          <w:lang w:val="uk-UA"/>
        </w:rPr>
        <w:t xml:space="preserve">навчалося 52 учня. </w:t>
      </w:r>
    </w:p>
    <w:p w:rsidR="00610EA3" w:rsidRPr="0000490C" w:rsidRDefault="00610EA3" w:rsidP="00610E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0490C">
        <w:rPr>
          <w:rFonts w:ascii="Times New Roman" w:hAnsi="Times New Roman"/>
          <w:b/>
          <w:sz w:val="28"/>
          <w:szCs w:val="28"/>
          <w:lang w:val="uk-UA"/>
        </w:rPr>
        <w:t>Моніторинг успішності учнів старшої школи (ІІІ ступеня)</w:t>
      </w:r>
    </w:p>
    <w:tbl>
      <w:tblPr>
        <w:tblW w:w="14992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1276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2165"/>
      </w:tblGrid>
      <w:tr w:rsidR="00610EA3" w:rsidRPr="0000490C" w:rsidTr="00163183">
        <w:trPr>
          <w:jc w:val="center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8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610EA3" w:rsidRPr="0000490C" w:rsidTr="00163183">
        <w:trPr>
          <w:jc w:val="center"/>
        </w:trPr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610EA3" w:rsidRPr="0000490C" w:rsidTr="00163183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2017/2018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51,3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38,5%</w:t>
            </w:r>
          </w:p>
        </w:tc>
      </w:tr>
      <w:tr w:rsidR="00610EA3" w:rsidRPr="0000490C" w:rsidTr="00163183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7,3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34,1%</w:t>
            </w:r>
          </w:p>
        </w:tc>
      </w:tr>
      <w:tr w:rsidR="00610EA3" w:rsidRPr="0000490C" w:rsidTr="00163183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35,1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45,9%</w:t>
            </w:r>
          </w:p>
        </w:tc>
      </w:tr>
      <w:tr w:rsidR="00610EA3" w:rsidRPr="0000490C" w:rsidTr="00163183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46,5%</w:t>
            </w:r>
          </w:p>
        </w:tc>
      </w:tr>
      <w:tr w:rsidR="00610EA3" w:rsidRPr="0000490C" w:rsidTr="00163183">
        <w:trPr>
          <w:trHeight w:val="32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34,6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00490C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48,1%</w:t>
            </w:r>
          </w:p>
        </w:tc>
      </w:tr>
    </w:tbl>
    <w:p w:rsidR="00DC0280" w:rsidRDefault="00610EA3" w:rsidP="00610EA3">
      <w:pPr>
        <w:pStyle w:val="a3"/>
        <w:spacing w:after="0" w:line="240" w:lineRule="auto"/>
        <w:ind w:left="0"/>
        <w:rPr>
          <w:color w:val="FF0000"/>
          <w:sz w:val="28"/>
          <w:szCs w:val="28"/>
          <w:lang w:val="uk-UA"/>
        </w:rPr>
      </w:pPr>
      <w:r w:rsidRPr="00522654">
        <w:rPr>
          <w:color w:val="FF0000"/>
          <w:sz w:val="28"/>
          <w:szCs w:val="28"/>
        </w:rPr>
        <w:t xml:space="preserve"> </w:t>
      </w:r>
      <w:r w:rsidRPr="00522654">
        <w:rPr>
          <w:color w:val="FF0000"/>
          <w:sz w:val="28"/>
          <w:szCs w:val="28"/>
        </w:rPr>
        <w:tab/>
        <w:t xml:space="preserve"> </w:t>
      </w:r>
      <w:r w:rsidRPr="00522654">
        <w:rPr>
          <w:color w:val="FF0000"/>
          <w:sz w:val="28"/>
          <w:szCs w:val="28"/>
        </w:rPr>
        <w:tab/>
      </w:r>
    </w:p>
    <w:p w:rsidR="00610EA3" w:rsidRPr="00310FE9" w:rsidRDefault="00610EA3" w:rsidP="00610EA3">
      <w:pPr>
        <w:pStyle w:val="a3"/>
        <w:spacing w:after="0" w:line="240" w:lineRule="auto"/>
        <w:ind w:left="0"/>
        <w:rPr>
          <w:sz w:val="28"/>
          <w:szCs w:val="28"/>
          <w:lang w:eastAsia="zh-CN"/>
        </w:rPr>
      </w:pPr>
      <w:r w:rsidRPr="00310FE9">
        <w:rPr>
          <w:sz w:val="28"/>
          <w:szCs w:val="28"/>
        </w:rPr>
        <w:lastRenderedPageBreak/>
        <w:t xml:space="preserve">Проведений </w:t>
      </w:r>
      <w:proofErr w:type="spellStart"/>
      <w:r w:rsidRPr="00310FE9">
        <w:rPr>
          <w:sz w:val="28"/>
          <w:szCs w:val="28"/>
        </w:rPr>
        <w:t>моніторинг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навчальних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досягнень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учнів</w:t>
      </w:r>
      <w:proofErr w:type="spellEnd"/>
      <w:r w:rsidRPr="00310FE9">
        <w:rPr>
          <w:sz w:val="28"/>
          <w:szCs w:val="28"/>
        </w:rPr>
        <w:t xml:space="preserve"> у </w:t>
      </w:r>
      <w:proofErr w:type="spellStart"/>
      <w:r w:rsidRPr="00310FE9">
        <w:rPr>
          <w:sz w:val="28"/>
          <w:szCs w:val="28"/>
        </w:rPr>
        <w:t>розрізі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предметі</w:t>
      </w:r>
      <w:proofErr w:type="gramStart"/>
      <w:r w:rsidRPr="00310FE9">
        <w:rPr>
          <w:sz w:val="28"/>
          <w:szCs w:val="28"/>
        </w:rPr>
        <w:t>в</w:t>
      </w:r>
      <w:proofErr w:type="spellEnd"/>
      <w:proofErr w:type="gramEnd"/>
      <w:r w:rsidRPr="00310FE9">
        <w:rPr>
          <w:sz w:val="28"/>
          <w:szCs w:val="28"/>
        </w:rPr>
        <w:t xml:space="preserve"> показав </w:t>
      </w:r>
      <w:proofErr w:type="spellStart"/>
      <w:r w:rsidRPr="00310FE9">
        <w:rPr>
          <w:sz w:val="28"/>
          <w:szCs w:val="28"/>
        </w:rPr>
        <w:t>такі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результати</w:t>
      </w:r>
      <w:proofErr w:type="spellEnd"/>
      <w:r w:rsidRPr="00310FE9">
        <w:rPr>
          <w:sz w:val="28"/>
          <w:szCs w:val="28"/>
        </w:rPr>
        <w:t>:</w:t>
      </w:r>
    </w:p>
    <w:p w:rsidR="00610EA3" w:rsidRPr="00310FE9" w:rsidRDefault="00610EA3" w:rsidP="00610EA3">
      <w:pPr>
        <w:pStyle w:val="a3"/>
        <w:spacing w:after="0" w:line="240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0FE9">
        <w:rPr>
          <w:b/>
          <w:bCs/>
          <w:sz w:val="28"/>
          <w:szCs w:val="28"/>
          <w:lang w:eastAsia="uk-UA"/>
        </w:rPr>
        <w:t>Моніторинг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навчальних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досягнень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учнів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за </w:t>
      </w:r>
      <w:proofErr w:type="spellStart"/>
      <w:proofErr w:type="gramStart"/>
      <w:r w:rsidRPr="00310FE9">
        <w:rPr>
          <w:b/>
          <w:bCs/>
          <w:sz w:val="28"/>
          <w:szCs w:val="28"/>
          <w:lang w:eastAsia="uk-UA"/>
        </w:rPr>
        <w:t>п</w:t>
      </w:r>
      <w:proofErr w:type="gramEnd"/>
      <w:r w:rsidRPr="00310FE9">
        <w:rPr>
          <w:b/>
          <w:bCs/>
          <w:sz w:val="28"/>
          <w:szCs w:val="28"/>
          <w:lang w:eastAsia="uk-UA"/>
        </w:rPr>
        <w:t>ідсумками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річного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оцінювання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у </w:t>
      </w:r>
      <w:proofErr w:type="spellStart"/>
      <w:r w:rsidRPr="00310FE9">
        <w:rPr>
          <w:b/>
          <w:bCs/>
          <w:sz w:val="28"/>
          <w:szCs w:val="28"/>
          <w:lang w:eastAsia="uk-UA"/>
        </w:rPr>
        <w:t>розрізі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предметів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за </w:t>
      </w:r>
      <w:r w:rsidRPr="00310FE9">
        <w:rPr>
          <w:b/>
          <w:bCs/>
          <w:sz w:val="28"/>
          <w:szCs w:val="28"/>
          <w:lang w:val="uk-UA" w:eastAsia="uk-UA"/>
        </w:rPr>
        <w:t xml:space="preserve">період з </w:t>
      </w:r>
      <w:r w:rsidRPr="00310FE9">
        <w:rPr>
          <w:b/>
          <w:bCs/>
          <w:sz w:val="28"/>
          <w:szCs w:val="28"/>
          <w:lang w:eastAsia="uk-UA"/>
        </w:rPr>
        <w:t xml:space="preserve">2019/2020 </w:t>
      </w:r>
      <w:r w:rsidRPr="00310FE9">
        <w:rPr>
          <w:b/>
          <w:bCs/>
          <w:sz w:val="28"/>
          <w:szCs w:val="28"/>
          <w:lang w:val="uk-UA" w:eastAsia="uk-UA"/>
        </w:rPr>
        <w:t>по</w:t>
      </w:r>
      <w:r w:rsidRPr="00310FE9">
        <w:rPr>
          <w:b/>
          <w:bCs/>
          <w:sz w:val="28"/>
          <w:szCs w:val="28"/>
          <w:lang w:eastAsia="uk-UA"/>
        </w:rPr>
        <w:t xml:space="preserve"> 202</w:t>
      </w:r>
      <w:r w:rsidRPr="00310FE9">
        <w:rPr>
          <w:b/>
          <w:bCs/>
          <w:sz w:val="28"/>
          <w:szCs w:val="28"/>
          <w:lang w:val="uk-UA" w:eastAsia="uk-UA"/>
        </w:rPr>
        <w:t>1</w:t>
      </w:r>
      <w:r w:rsidRPr="00310FE9">
        <w:rPr>
          <w:b/>
          <w:bCs/>
          <w:sz w:val="28"/>
          <w:szCs w:val="28"/>
          <w:lang w:eastAsia="uk-UA"/>
        </w:rPr>
        <w:t>/202</w:t>
      </w:r>
      <w:r w:rsidRPr="00310FE9">
        <w:rPr>
          <w:b/>
          <w:bCs/>
          <w:sz w:val="28"/>
          <w:szCs w:val="28"/>
          <w:lang w:val="uk-UA" w:eastAsia="uk-UA"/>
        </w:rPr>
        <w:t>2</w:t>
      </w:r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навчальні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роки</w:t>
      </w:r>
    </w:p>
    <w:tbl>
      <w:tblPr>
        <w:tblW w:w="14921" w:type="dxa"/>
        <w:jc w:val="center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851"/>
        <w:gridCol w:w="917"/>
        <w:gridCol w:w="917"/>
        <w:gridCol w:w="918"/>
        <w:gridCol w:w="917"/>
        <w:gridCol w:w="918"/>
        <w:gridCol w:w="917"/>
        <w:gridCol w:w="917"/>
        <w:gridCol w:w="918"/>
        <w:gridCol w:w="917"/>
        <w:gridCol w:w="918"/>
        <w:gridCol w:w="917"/>
        <w:gridCol w:w="918"/>
      </w:tblGrid>
      <w:tr w:rsidR="00610EA3" w:rsidRPr="00310FE9" w:rsidTr="00163183">
        <w:trPr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ступінь</w:t>
            </w:r>
          </w:p>
        </w:tc>
        <w:tc>
          <w:tcPr>
            <w:tcW w:w="11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Рівень навчальних досягнень учнів (у%)</w:t>
            </w:r>
          </w:p>
        </w:tc>
      </w:tr>
      <w:tr w:rsidR="00610EA3" w:rsidRPr="00310FE9" w:rsidTr="00163183">
        <w:trPr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початковий</w:t>
            </w:r>
          </w:p>
        </w:tc>
      </w:tr>
      <w:tr w:rsidR="00610EA3" w:rsidRPr="00310FE9" w:rsidTr="00163183">
        <w:trPr>
          <w:cantSplit/>
          <w:trHeight w:val="308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2019/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2020/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2019/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2020/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2019/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2020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2020/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2019/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2020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2020/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2021/</w:t>
            </w:r>
          </w:p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</w:tr>
      <w:tr w:rsidR="00610EA3" w:rsidRPr="00310FE9" w:rsidTr="00163183">
        <w:trPr>
          <w:cantSplit/>
          <w:trHeight w:val="12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DC0280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53,2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23,5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58,8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46,4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49,8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47,4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7,1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8,3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31,3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Іноземна мова (англійська)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39,2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27,4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Російська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28,9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34,8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62,6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57,6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11,3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32,7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49,8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13,2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37,8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38,1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35,7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39,1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32,3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23,8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46,1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28,2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7,2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1,9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34,3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1,9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47,8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31,3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47,8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38,3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29,6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28,9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Харківщинознавство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49,9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2,1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Громадянська освіта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22,8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Основи правознавства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78,3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68,5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56,3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7,1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23,4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8,2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1,9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Природознавство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47,6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8,5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51,9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57,2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13,2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Біологія та екологія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37,6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38,0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46,5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13,4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11,0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46,9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34,3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42,9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9,7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0,4</w:t>
            </w:r>
          </w:p>
        </w:tc>
      </w:tr>
      <w:tr w:rsidR="00610EA3" w:rsidRPr="00310FE9" w:rsidTr="00DC0280">
        <w:trPr>
          <w:trHeight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Фізика та астрономія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35,1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40,6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39,5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38,9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26,1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24,7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10EA3">
              <w:rPr>
                <w:rFonts w:ascii="Times New Roman" w:hAnsi="Times New Roman"/>
                <w:sz w:val="20"/>
                <w:szCs w:val="20"/>
                <w:lang w:val="uk-UA" w:eastAsia="uk-UA"/>
              </w:rPr>
              <w:t>0,7</w:t>
            </w:r>
          </w:p>
        </w:tc>
      </w:tr>
      <w:tr w:rsidR="00610EA3" w:rsidRPr="00310FE9" w:rsidTr="00163183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48,2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Фізична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51,8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52,3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57,8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84,7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73,5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67,4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72,5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69,7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  <w:tr w:rsidR="00610EA3" w:rsidRPr="00310FE9" w:rsidTr="00DC0280">
        <w:trPr>
          <w:trHeight w:val="22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66,1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68,1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10FE9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</w:tbl>
    <w:p w:rsidR="00610EA3" w:rsidRPr="00310FE9" w:rsidRDefault="00610EA3" w:rsidP="00610EA3">
      <w:pPr>
        <w:pStyle w:val="Standard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10FE9">
        <w:rPr>
          <w:rFonts w:eastAsia="Times New Roman"/>
          <w:sz w:val="28"/>
          <w:szCs w:val="28"/>
          <w:lang w:val="uk-UA" w:eastAsia="ru-RU"/>
        </w:rPr>
        <w:t>Аналізуючи отримані дані, треба зазначити, що підвищився показник якості знань учнів у 2021/2022 навчальному році у порівнянні з 2020/2021 навчальним роком з таких предметів як громадянська освіта, географія, природознавство, географія, хімія, Захист України, мистецтво, музичне мистецтво, трудове навчання, технології.  Знизився показник якості знань учнів з математики, англійської мови.</w:t>
      </w:r>
    </w:p>
    <w:p w:rsidR="00610EA3" w:rsidRPr="009E6C74" w:rsidRDefault="00610EA3" w:rsidP="00610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6C74">
        <w:rPr>
          <w:rFonts w:ascii="Times New Roman" w:hAnsi="Times New Roman"/>
          <w:b/>
          <w:sz w:val="28"/>
          <w:szCs w:val="28"/>
          <w:lang w:val="uk-UA"/>
        </w:rPr>
        <w:t>Похвальними листами та грамотами</w:t>
      </w:r>
    </w:p>
    <w:p w:rsidR="00610EA3" w:rsidRPr="009E6C74" w:rsidRDefault="00610EA3" w:rsidP="00610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Ind w:w="-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3426"/>
        <w:gridCol w:w="3427"/>
        <w:gridCol w:w="3427"/>
      </w:tblGrid>
      <w:tr w:rsidR="00610EA3" w:rsidRPr="009E6C74" w:rsidTr="00163183">
        <w:trPr>
          <w:trHeight w:val="439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Навчальний рік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Похвальні листи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Похвальні грамоти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Всього</w:t>
            </w:r>
          </w:p>
        </w:tc>
      </w:tr>
      <w:tr w:rsidR="00610EA3" w:rsidRPr="009E6C74" w:rsidTr="00163183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2017/2018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56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56</w:t>
            </w:r>
          </w:p>
        </w:tc>
      </w:tr>
      <w:tr w:rsidR="00610EA3" w:rsidRPr="009E6C74" w:rsidTr="00163183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2018/2019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41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44</w:t>
            </w:r>
          </w:p>
        </w:tc>
      </w:tr>
      <w:tr w:rsidR="00610EA3" w:rsidRPr="009E6C74" w:rsidTr="00163183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2019/2020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37</w:t>
            </w:r>
          </w:p>
        </w:tc>
      </w:tr>
      <w:tr w:rsidR="00610EA3" w:rsidRPr="009E6C74" w:rsidTr="00163183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2020/2021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28</w:t>
            </w:r>
          </w:p>
        </w:tc>
      </w:tr>
      <w:tr w:rsidR="00610EA3" w:rsidRPr="009E6C74" w:rsidTr="00163183">
        <w:trPr>
          <w:trHeight w:val="397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2021/2022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16</w:t>
            </w:r>
          </w:p>
        </w:tc>
      </w:tr>
    </w:tbl>
    <w:p w:rsidR="00610EA3" w:rsidRDefault="00610EA3" w:rsidP="00610EA3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610EA3" w:rsidRPr="00EA3BE3" w:rsidRDefault="00610EA3" w:rsidP="00610EA3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>
        <w:rPr>
          <w:noProof/>
        </w:rPr>
        <w:lastRenderedPageBreak/>
        <w:drawing>
          <wp:inline distT="0" distB="0" distL="0" distR="0">
            <wp:extent cx="900112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0EA3" w:rsidRPr="00EA3BE3" w:rsidRDefault="00610EA3" w:rsidP="00610EA3">
      <w:pPr>
        <w:spacing w:after="0" w:line="240" w:lineRule="auto"/>
        <w:jc w:val="center"/>
        <w:rPr>
          <w:rFonts w:ascii="Times New Roman" w:hAnsi="Times New Roman"/>
          <w:b/>
          <w:szCs w:val="28"/>
          <w:lang w:val="uk-UA"/>
        </w:rPr>
      </w:pPr>
    </w:p>
    <w:p w:rsidR="00610EA3" w:rsidRPr="009E6C74" w:rsidRDefault="00610EA3" w:rsidP="00610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6C74">
        <w:rPr>
          <w:rFonts w:ascii="Times New Roman" w:hAnsi="Times New Roman"/>
          <w:b/>
          <w:sz w:val="28"/>
          <w:szCs w:val="28"/>
          <w:lang w:val="uk-UA"/>
        </w:rPr>
        <w:t>Моніторинг нагородження Золотою та Срібною медалями та видачі свідоцтв з відзнакою</w:t>
      </w:r>
    </w:p>
    <w:p w:rsidR="00610EA3" w:rsidRPr="009E6C74" w:rsidRDefault="00610EA3" w:rsidP="00610EA3">
      <w:pPr>
        <w:spacing w:after="0" w:line="240" w:lineRule="auto"/>
        <w:jc w:val="center"/>
        <w:rPr>
          <w:sz w:val="16"/>
          <w:szCs w:val="16"/>
          <w:lang w:val="uk-UA"/>
        </w:rPr>
      </w:pPr>
    </w:p>
    <w:tbl>
      <w:tblPr>
        <w:tblW w:w="14906" w:type="dxa"/>
        <w:jc w:val="center"/>
        <w:tblInd w:w="-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3"/>
        <w:gridCol w:w="3447"/>
        <w:gridCol w:w="3448"/>
        <w:gridCol w:w="3448"/>
      </w:tblGrid>
      <w:tr w:rsidR="00610EA3" w:rsidRPr="009E6C74" w:rsidTr="00163183">
        <w:trPr>
          <w:trHeight w:val="454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sz w:val="28"/>
                <w:szCs w:val="24"/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Навчальний рік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Золота медаль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Срібна медаль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Свідоцтво з відзнакою</w:t>
            </w:r>
          </w:p>
        </w:tc>
      </w:tr>
      <w:tr w:rsidR="00610EA3" w:rsidRPr="009E6C74" w:rsidTr="00DC0280">
        <w:trPr>
          <w:trHeight w:val="34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2017/2018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</w:tr>
      <w:tr w:rsidR="00610EA3" w:rsidRPr="009E6C74" w:rsidTr="00DC0280">
        <w:trPr>
          <w:trHeight w:val="34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2018/2019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</w:tr>
      <w:tr w:rsidR="00610EA3" w:rsidRPr="009E6C74" w:rsidTr="00DC0280">
        <w:trPr>
          <w:trHeight w:val="34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2019/2020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</w:tr>
      <w:tr w:rsidR="00610EA3" w:rsidRPr="009E6C74" w:rsidTr="00DC0280">
        <w:trPr>
          <w:trHeight w:val="34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2020/2021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</w:tr>
      <w:tr w:rsidR="00610EA3" w:rsidRPr="009E6C74" w:rsidTr="00DC0280">
        <w:trPr>
          <w:trHeight w:val="34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2021/2022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</w:tr>
    </w:tbl>
    <w:p w:rsidR="00610EA3" w:rsidRDefault="00610EA3" w:rsidP="00610EA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10EA3" w:rsidRDefault="00610EA3" w:rsidP="00610EA3">
      <w:pPr>
        <w:spacing w:after="0" w:line="240" w:lineRule="auto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9001125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0EA3" w:rsidRDefault="00610EA3" w:rsidP="00610EA3">
      <w:pPr>
        <w:pStyle w:val="1"/>
        <w:keepNext/>
        <w:shd w:val="clear" w:color="auto" w:fill="FFFFFF"/>
        <w:suppressAutoHyphens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 w:eastAsia="uk-UA"/>
        </w:rPr>
        <w:lastRenderedPageBreak/>
        <w:t xml:space="preserve">          </w:t>
      </w:r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законів України «Про освіту», «Про повну загальну середню освіту», «Про скасування складання державної підсумкової атестації, ЗНО, єдиного вступного іспиту та єдиного фахового вступного випробування у 2022-му році», Указу Президента України від 24.02.2022 №64/2022 «Про введення воєнного стану в Україні», затвердженого Законом України від 24.02.2022 № 2102-ІХ «Про затвердження Указу Президента України «Про введення воєнного стану в Україні», пункту 1 розпорядження Кабінету Міністрів України від 25.03.2020 № 338-р «Про переведення єдиної державної системи цивільного захисту у режим надзвичайної ситуації», пункту 3 розділу І, пункту 6 розділу </w:t>
      </w:r>
      <w:r w:rsidRPr="00EF285B">
        <w:rPr>
          <w:b w:val="0"/>
          <w:bCs w:val="0"/>
          <w:color w:val="000000"/>
          <w:sz w:val="28"/>
          <w:szCs w:val="28"/>
        </w:rPr>
        <w:t>IV</w:t>
      </w:r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 Порядку проведення державної підсумкової атестації, затвердженого наказом Міністерства освіти і науки України від 07.12.2018 № 1369, зареєстрованого в Міністерстві юстиції України 02.01.2019 за № 8/32979, наказу Управління освіти, молоді та спорту </w:t>
      </w:r>
      <w:proofErr w:type="spellStart"/>
      <w:r w:rsidRPr="00DC0280">
        <w:rPr>
          <w:b w:val="0"/>
          <w:bCs w:val="0"/>
          <w:color w:val="000000"/>
          <w:sz w:val="28"/>
          <w:szCs w:val="28"/>
          <w:lang w:val="uk-UA"/>
        </w:rPr>
        <w:t>Лозівської</w:t>
      </w:r>
      <w:proofErr w:type="spellEnd"/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 міської ради від 28.03.2022 № 76 «Про звільнення від державної підсумкової атестації здобувачів освіти, які завершують здобуття повної загальної середньої освіти у 2021/2022 навчальному році у закладах освіти, підпорядкованих Управлінню освіти, молоді та спорту </w:t>
      </w:r>
      <w:proofErr w:type="spellStart"/>
      <w:r w:rsidRPr="00DC0280">
        <w:rPr>
          <w:b w:val="0"/>
          <w:bCs w:val="0"/>
          <w:color w:val="000000"/>
          <w:sz w:val="28"/>
          <w:szCs w:val="28"/>
          <w:lang w:val="uk-UA"/>
        </w:rPr>
        <w:t>Лозівської</w:t>
      </w:r>
      <w:proofErr w:type="spellEnd"/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 міської ради Харківської області», наказу КЗ «</w:t>
      </w:r>
      <w:proofErr w:type="spellStart"/>
      <w:r w:rsidRPr="00DC0280">
        <w:rPr>
          <w:b w:val="0"/>
          <w:bCs w:val="0"/>
          <w:color w:val="000000"/>
          <w:sz w:val="28"/>
          <w:szCs w:val="28"/>
          <w:lang w:val="uk-UA"/>
        </w:rPr>
        <w:t>Лозівський</w:t>
      </w:r>
      <w:proofErr w:type="spellEnd"/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 ліцей №8» від 28.03.2022 №33-о «Про звільнення від державної підсумкової атестації здобувачів освіти, які завершують здобуття повної загальної середньої освіти у 2021/2022 навчальному році у КЗ «</w:t>
      </w:r>
      <w:proofErr w:type="spellStart"/>
      <w:r w:rsidRPr="00DC0280">
        <w:rPr>
          <w:b w:val="0"/>
          <w:bCs w:val="0"/>
          <w:color w:val="000000"/>
          <w:sz w:val="28"/>
          <w:szCs w:val="28"/>
          <w:lang w:val="uk-UA"/>
        </w:rPr>
        <w:t>Лозівський</w:t>
      </w:r>
      <w:proofErr w:type="spellEnd"/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 ліцей №8» та з метою збереження життя і здоров'я учнів в умовах воєнного стану, організованого завершення 2021/2022 навчального року учні 11 </w:t>
      </w:r>
      <w:proofErr w:type="spellStart"/>
      <w:r w:rsidRPr="00DC0280">
        <w:rPr>
          <w:b w:val="0"/>
          <w:bCs w:val="0"/>
          <w:color w:val="000000"/>
          <w:sz w:val="28"/>
          <w:szCs w:val="28"/>
          <w:lang w:val="uk-UA"/>
        </w:rPr>
        <w:t>кдасу</w:t>
      </w:r>
      <w:proofErr w:type="spellEnd"/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 звільнені від державної підсумкової атестації (ДПА) для здобувачів освіти, які завершують здобуття повної загальної середньої освіти у 2021/2022 навчальному році. </w:t>
      </w:r>
      <w:r w:rsidRPr="00EF285B">
        <w:rPr>
          <w:b w:val="0"/>
          <w:bCs w:val="0"/>
          <w:color w:val="000000"/>
          <w:sz w:val="28"/>
          <w:szCs w:val="28"/>
        </w:rPr>
        <w:t xml:space="preserve">19 з 23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випускників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11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класу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проходили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єдиний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Національний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мультипредметний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тест. З них 2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учня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Устименко І.,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Горностаєв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К.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продемонстрували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високий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рівень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знань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з математики </w:t>
      </w:r>
      <w:proofErr w:type="spellStart"/>
      <w:r w:rsidRPr="00EF285B">
        <w:rPr>
          <w:b w:val="0"/>
          <w:bCs w:val="0"/>
          <w:color w:val="000000"/>
          <w:sz w:val="28"/>
          <w:szCs w:val="28"/>
        </w:rPr>
        <w:t>отримавши</w:t>
      </w:r>
      <w:proofErr w:type="spellEnd"/>
      <w:r w:rsidRPr="00EF285B">
        <w:rPr>
          <w:b w:val="0"/>
          <w:bCs w:val="0"/>
          <w:color w:val="000000"/>
          <w:sz w:val="28"/>
          <w:szCs w:val="28"/>
        </w:rPr>
        <w:t xml:space="preserve"> 200 б..</w:t>
      </w:r>
    </w:p>
    <w:p w:rsidR="00610EA3" w:rsidRPr="000F37B6" w:rsidRDefault="00610EA3" w:rsidP="00610EA3">
      <w:pPr>
        <w:pStyle w:val="1"/>
        <w:keepNext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0" w:firstLine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ab/>
      </w:r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Відповідно </w:t>
      </w:r>
      <w:r w:rsidRPr="00522654">
        <w:rPr>
          <w:b w:val="0"/>
          <w:bCs w:val="0"/>
          <w:color w:val="000000"/>
          <w:sz w:val="28"/>
          <w:szCs w:val="28"/>
          <w:lang w:val="uk-UA"/>
        </w:rPr>
        <w:t>наказу Міністерства освіти і науки України від 28.02.2022 №232 «Про звільнення від проходження державної підсумкової атестації учнів, які завершують здобуття початкової та базової загальної середньої освіти, у 2021/2022 навчальному році»,</w:t>
      </w:r>
      <w:r>
        <w:rPr>
          <w:b w:val="0"/>
          <w:color w:val="000000"/>
          <w:sz w:val="28"/>
          <w:szCs w:val="28"/>
          <w:lang w:val="uk-UA"/>
        </w:rPr>
        <w:t xml:space="preserve"> наказу</w:t>
      </w:r>
      <w:r w:rsidRPr="00522654">
        <w:rPr>
          <w:b w:val="0"/>
          <w:color w:val="000000"/>
          <w:sz w:val="28"/>
          <w:szCs w:val="28"/>
          <w:lang w:val="uk-UA"/>
        </w:rPr>
        <w:t xml:space="preserve"> КЗ </w:t>
      </w:r>
      <w:proofErr w:type="spellStart"/>
      <w:r w:rsidRPr="00522654">
        <w:rPr>
          <w:b w:val="0"/>
          <w:color w:val="000000"/>
          <w:sz w:val="28"/>
          <w:szCs w:val="28"/>
          <w:lang w:val="uk-UA"/>
        </w:rPr>
        <w:t>Лозівський</w:t>
      </w:r>
      <w:proofErr w:type="spellEnd"/>
      <w:r w:rsidRPr="00522654">
        <w:rPr>
          <w:b w:val="0"/>
          <w:color w:val="000000"/>
          <w:sz w:val="28"/>
          <w:szCs w:val="28"/>
          <w:lang w:val="uk-UA"/>
        </w:rPr>
        <w:t xml:space="preserve"> ліцей №8 від 18.03.2022 № 31-о «Про звільнення від проходження державної підсумкової атестації учнів, які завершують здобуття початкової та базової середньої освіти у 2021/2022 навчальному році у КЗ «</w:t>
      </w:r>
      <w:proofErr w:type="spellStart"/>
      <w:r w:rsidRPr="00522654">
        <w:rPr>
          <w:b w:val="0"/>
          <w:color w:val="000000"/>
          <w:sz w:val="28"/>
          <w:szCs w:val="28"/>
          <w:lang w:val="uk-UA"/>
        </w:rPr>
        <w:t>Лозівський</w:t>
      </w:r>
      <w:proofErr w:type="spellEnd"/>
      <w:r w:rsidRPr="00522654">
        <w:rPr>
          <w:b w:val="0"/>
          <w:color w:val="000000"/>
          <w:sz w:val="28"/>
          <w:szCs w:val="28"/>
          <w:lang w:val="uk-UA"/>
        </w:rPr>
        <w:t xml:space="preserve"> ліцей №8»</w:t>
      </w:r>
      <w:r w:rsidRPr="00DC0280">
        <w:rPr>
          <w:b w:val="0"/>
          <w:bCs w:val="0"/>
          <w:color w:val="000000"/>
          <w:sz w:val="28"/>
          <w:szCs w:val="28"/>
          <w:lang w:val="uk-UA"/>
        </w:rPr>
        <w:t xml:space="preserve"> учні 4-х та 9 –х класів у 2020/2021 навчальному році звільнені від проходження ДПА.</w:t>
      </w:r>
    </w:p>
    <w:p w:rsidR="00DC0280" w:rsidRDefault="00DC0280" w:rsidP="00DC0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DC0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DC0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280" w:rsidRPr="00DC0280" w:rsidRDefault="00DC0280" w:rsidP="00DC0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DC028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DC028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DC028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EA3" w:rsidRPr="00DC0280" w:rsidRDefault="00610EA3" w:rsidP="00DC028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lastRenderedPageBreak/>
        <w:t xml:space="preserve">За статистичними даними на 01.06.2022 року у закладі (шкільний підрозділ) працює 36 педагогічних працівників, </w:t>
      </w:r>
      <w:r>
        <w:rPr>
          <w:rFonts w:ascii="Times New Roman" w:hAnsi="Times New Roman"/>
          <w:sz w:val="28"/>
          <w:szCs w:val="28"/>
          <w:lang w:val="uk-UA"/>
        </w:rPr>
        <w:t xml:space="preserve">повну вищу </w:t>
      </w:r>
      <w:r w:rsidRPr="00610EA3">
        <w:rPr>
          <w:rFonts w:ascii="Times New Roman" w:hAnsi="Times New Roman"/>
          <w:sz w:val="28"/>
          <w:szCs w:val="28"/>
          <w:lang w:val="uk-UA"/>
        </w:rPr>
        <w:t>освіту мають 31 педагог.</w:t>
      </w:r>
    </w:p>
    <w:p w:rsidR="00DC0280" w:rsidRPr="00DC0280" w:rsidRDefault="00DC0280" w:rsidP="00DC02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>Розподіл педагогічних працівників за віком (шкільний підрозділ)</w:t>
      </w: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9277350" cy="21526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10E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ab/>
        <w:t>За статистичними даними на 01.06.2022 року у закладі (дошкільний  підрозділ) працює 7 педагогічних працівників, повну вищу освіту мають 4 педагога.</w:t>
      </w: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>Розподіл педагогічних працівників за віком (дошкільний підрозділ)</w:t>
      </w: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9286875" cy="18954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0280" w:rsidRDefault="00DC0280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>Стаж роботи педагогічних працівників (шкільний підрозділ)</w:t>
      </w:r>
    </w:p>
    <w:tbl>
      <w:tblPr>
        <w:tblW w:w="15112" w:type="dxa"/>
        <w:tblLook w:val="04A0" w:firstRow="1" w:lastRow="0" w:firstColumn="1" w:lastColumn="0" w:noHBand="0" w:noVBand="1"/>
      </w:tblPr>
      <w:tblGrid>
        <w:gridCol w:w="14876"/>
        <w:gridCol w:w="236"/>
      </w:tblGrid>
      <w:tr w:rsidR="00610EA3" w:rsidRPr="00522654" w:rsidTr="00163183">
        <w:trPr>
          <w:trHeight w:val="3844"/>
        </w:trPr>
        <w:tc>
          <w:tcPr>
            <w:tcW w:w="14876" w:type="dxa"/>
            <w:shd w:val="clear" w:color="auto" w:fill="auto"/>
          </w:tcPr>
          <w:p w:rsidR="00610EA3" w:rsidRDefault="00610EA3" w:rsidP="0016318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8886825" cy="1562100"/>
                  <wp:effectExtent l="0" t="0" r="0" b="0"/>
                  <wp:docPr id="7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5971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Стаж роботи педагогічних працівників (дошкільний підрозділ)</w:t>
            </w:r>
          </w:p>
          <w:p w:rsidR="00610EA3" w:rsidRPr="00180360" w:rsidRDefault="00610EA3" w:rsidP="001631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8886825" cy="1562100"/>
                  <wp:effectExtent l="0" t="0" r="0" b="0"/>
                  <wp:docPr id="8" name="Объек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610EA3" w:rsidRPr="0052265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610EA3" w:rsidRPr="00610EA3" w:rsidRDefault="00610EA3" w:rsidP="00DC02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10EA3">
        <w:rPr>
          <w:rFonts w:ascii="Times New Roman" w:hAnsi="Times New Roman"/>
          <w:bCs/>
          <w:sz w:val="28"/>
          <w:szCs w:val="28"/>
          <w:lang w:val="uk-UA"/>
        </w:rPr>
        <w:t xml:space="preserve">Атестація педагогічних працівників у закладі спрямована </w:t>
      </w:r>
      <w:r w:rsidRPr="00610EA3">
        <w:rPr>
          <w:rFonts w:ascii="Times New Roman" w:hAnsi="Times New Roman"/>
          <w:sz w:val="28"/>
          <w:szCs w:val="28"/>
          <w:lang w:val="uk-UA"/>
        </w:rPr>
        <w:t xml:space="preserve"> на пошук резервів підвищення продуктивності праці, зацікавленості педагогів у результатах своєї праці;  на створення умов для динамічного і всебічного розвитку особистості. </w:t>
      </w:r>
    </w:p>
    <w:p w:rsidR="00610EA3" w:rsidRPr="00610EA3" w:rsidRDefault="00610EA3" w:rsidP="00DC02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 xml:space="preserve">Одним із найважливіших засобів, які розвивають творчість педагога й стимулюють до активної самоосвіти та методичної роботи, є комплексне об'єктивне оцінювання діяльності, тобто встановлення його рейтингу серед інших педагогів закладів освіти. Із цією метою в закладі  розроблено </w:t>
      </w:r>
      <w:proofErr w:type="spellStart"/>
      <w:r w:rsidRPr="00610EA3">
        <w:rPr>
          <w:rFonts w:ascii="Times New Roman" w:hAnsi="Times New Roman"/>
          <w:sz w:val="28"/>
          <w:szCs w:val="28"/>
          <w:lang w:val="uk-UA"/>
        </w:rPr>
        <w:t>кваліметричну</w:t>
      </w:r>
      <w:proofErr w:type="spellEnd"/>
      <w:r w:rsidRPr="00610EA3">
        <w:rPr>
          <w:rFonts w:ascii="Times New Roman" w:hAnsi="Times New Roman"/>
          <w:sz w:val="28"/>
          <w:szCs w:val="28"/>
          <w:lang w:val="uk-UA"/>
        </w:rPr>
        <w:t xml:space="preserve"> модель професійної діяльності педагога. </w:t>
      </w:r>
    </w:p>
    <w:p w:rsidR="00610EA3" w:rsidRPr="00610EA3" w:rsidRDefault="00610EA3" w:rsidP="00DC0280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>В основі визначення рейтингу лежить оцінювання за критеріями, які характеризують такі основні фактори: безперервна освіта, організація, здійснення  та результативність освітнього процесу, документальне оформлення своєї роботи.</w:t>
      </w:r>
    </w:p>
    <w:p w:rsidR="00610EA3" w:rsidRPr="00610EA3" w:rsidRDefault="00610EA3" w:rsidP="00DC02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>У такий спосіб можна виявити</w:t>
      </w:r>
      <w:r w:rsidRPr="00610EA3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Pr="00610EA3">
        <w:rPr>
          <w:rFonts w:ascii="Times New Roman" w:hAnsi="Times New Roman"/>
          <w:sz w:val="28"/>
          <w:szCs w:val="28"/>
          <w:lang w:val="uk-UA"/>
        </w:rPr>
        <w:t xml:space="preserve">ті види діяльності педагога , які потребують поліпшення й доопрацювання, а також і ті, де він досяг певних успіхів. Саме за кваліметричною моделлю проводилось комплексне оцінювання вчителів, які атестувалися у 2021/2022 навчальному році. </w:t>
      </w:r>
    </w:p>
    <w:p w:rsidR="00610EA3" w:rsidRPr="00610EA3" w:rsidRDefault="00610EA3" w:rsidP="00DC02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lastRenderedPageBreak/>
        <w:t xml:space="preserve">Всього у 2021/2022 навчальному році було атестовано 7 педагогів (1 педагог атестувався за двома посадами), з них: 4 – атестаційною комісією ІІ рівня. </w:t>
      </w:r>
    </w:p>
    <w:p w:rsidR="00610EA3" w:rsidRPr="00610EA3" w:rsidRDefault="00610EA3" w:rsidP="00DC0280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>У закладі оформлено атестаційний куточок, в якому відображався хід атестації. Атестаційна кампанія пройшла  успішно, без порушень чинного законодавства та Типового положення.</w:t>
      </w:r>
    </w:p>
    <w:p w:rsidR="00610EA3" w:rsidRPr="00610EA3" w:rsidRDefault="00610EA3" w:rsidP="00DC0280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>Педагогічними працівниками пройдені фахові курси підвищення кваліфікації, сплановані на даний період, а також спецкурси.</w:t>
      </w:r>
    </w:p>
    <w:p w:rsidR="00610EA3" w:rsidRPr="00610EA3" w:rsidRDefault="00610EA3" w:rsidP="00DC0280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 xml:space="preserve">Динаміку змін фахового рівня педагогічних працівників та відстеження кваліфікаційного рівня педагогів за підсумками атестації  можна простежити на діаграмах, наведених нижче. </w:t>
      </w:r>
    </w:p>
    <w:p w:rsidR="00610EA3" w:rsidRPr="00610EA3" w:rsidRDefault="00610EA3" w:rsidP="00DC0280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10EA3">
        <w:rPr>
          <w:rFonts w:ascii="Times New Roman" w:hAnsi="Times New Roman"/>
          <w:sz w:val="28"/>
          <w:szCs w:val="28"/>
          <w:lang w:val="uk-UA"/>
        </w:rPr>
        <w:t>Якісний склад педагогічного колективу (шкільний підрозділ) становить (основні працівники, станом на кінець навчального року):</w:t>
      </w:r>
    </w:p>
    <w:tbl>
      <w:tblPr>
        <w:tblW w:w="0" w:type="auto"/>
        <w:jc w:val="center"/>
        <w:tblInd w:w="-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398"/>
        <w:gridCol w:w="1122"/>
        <w:gridCol w:w="1122"/>
        <w:gridCol w:w="1122"/>
        <w:gridCol w:w="1122"/>
        <w:gridCol w:w="1122"/>
        <w:gridCol w:w="1123"/>
        <w:gridCol w:w="1122"/>
        <w:gridCol w:w="1122"/>
        <w:gridCol w:w="1122"/>
        <w:gridCol w:w="1123"/>
      </w:tblGrid>
      <w:tr w:rsidR="00610EA3" w:rsidRPr="009E6C74" w:rsidTr="00163183">
        <w:trPr>
          <w:trHeight w:val="43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Навчальний рік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Всього педагогів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Спеціаліст вищої категорії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Спеціаліст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перщої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категорії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Спеціаліст другої категорії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Спеціаліст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11 тарифний розряд</w:t>
            </w:r>
          </w:p>
        </w:tc>
      </w:tr>
      <w:tr w:rsidR="00610EA3" w:rsidRPr="009E6C74" w:rsidTr="00DC0280">
        <w:trPr>
          <w:trHeight w:val="22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sz w:val="20"/>
                <w:szCs w:val="20"/>
                <w:lang w:val="uk-UA"/>
              </w:rPr>
              <w:t>2017/2018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40,5%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13,5%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16,2%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10,8%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19%</w:t>
            </w:r>
          </w:p>
        </w:tc>
      </w:tr>
      <w:tr w:rsidR="00610EA3" w:rsidRPr="009E6C74" w:rsidTr="00DC0280">
        <w:trPr>
          <w:trHeight w:val="22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sz w:val="20"/>
                <w:szCs w:val="20"/>
                <w:lang w:val="uk-UA"/>
              </w:rPr>
              <w:t>2018/2019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42,1%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10,5%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15,8%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13,2%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18,4%</w:t>
            </w:r>
          </w:p>
        </w:tc>
      </w:tr>
      <w:tr w:rsidR="00610EA3" w:rsidRPr="009E6C74" w:rsidTr="00DC0280">
        <w:trPr>
          <w:trHeight w:val="22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sz w:val="20"/>
                <w:szCs w:val="20"/>
                <w:lang w:val="uk-UA"/>
              </w:rPr>
              <w:t>2019/2020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40,5%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8,1%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16,2%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16,2%</w:t>
            </w:r>
          </w:p>
        </w:tc>
      </w:tr>
      <w:tr w:rsidR="00610EA3" w:rsidRPr="009E6C74" w:rsidTr="00DC0280">
        <w:trPr>
          <w:trHeight w:val="22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sz w:val="20"/>
                <w:szCs w:val="20"/>
                <w:lang w:val="uk-UA"/>
              </w:rPr>
              <w:t>2020/2021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36,8%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10,5%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21,1%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18,4%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13,2%</w:t>
            </w:r>
          </w:p>
        </w:tc>
      </w:tr>
      <w:tr w:rsidR="00610EA3" w:rsidRPr="009E6C74" w:rsidTr="00DC0280">
        <w:trPr>
          <w:trHeight w:val="22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sz w:val="20"/>
                <w:szCs w:val="20"/>
                <w:lang w:val="uk-UA"/>
              </w:rPr>
              <w:t>2021/2022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38,9%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13,9%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19,4%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13,9%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DC0280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028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13,9%</w:t>
            </w:r>
          </w:p>
        </w:tc>
      </w:tr>
    </w:tbl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610EA3">
        <w:rPr>
          <w:rFonts w:ascii="Times New Roman" w:hAnsi="Times New Roman"/>
          <w:color w:val="0070C0"/>
          <w:sz w:val="28"/>
          <w:szCs w:val="28"/>
          <w:lang w:val="uk-UA"/>
        </w:rPr>
        <w:tab/>
      </w: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</w:p>
    <w:p w:rsidR="00610EA3" w:rsidRPr="00DC0280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lang w:val="uk-UA"/>
        </w:rPr>
      </w:pPr>
      <w:r w:rsidRPr="00DC0280">
        <w:rPr>
          <w:b/>
          <w:noProof/>
        </w:rPr>
        <w:lastRenderedPageBreak/>
        <w:drawing>
          <wp:inline distT="0" distB="0" distL="0" distR="0" wp14:anchorId="55FBC602" wp14:editId="36E81145">
            <wp:extent cx="9277350" cy="200977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0EA3" w:rsidRPr="00DC0280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DC0280">
        <w:rPr>
          <w:rFonts w:ascii="Times New Roman" w:hAnsi="Times New Roman"/>
          <w:b/>
          <w:color w:val="0070C0"/>
          <w:sz w:val="28"/>
          <w:szCs w:val="28"/>
          <w:lang w:val="uk-UA"/>
        </w:rPr>
        <w:tab/>
      </w:r>
      <w:proofErr w:type="spellStart"/>
      <w:r w:rsidRPr="00DC0280">
        <w:rPr>
          <w:rFonts w:ascii="Times New Roman" w:hAnsi="Times New Roman"/>
          <w:color w:val="0070C0"/>
          <w:sz w:val="28"/>
          <w:szCs w:val="28"/>
          <w:lang w:val="uk-UA"/>
        </w:rPr>
        <w:t>‘</w:t>
      </w:r>
      <w:r w:rsidRPr="00DC0280">
        <w:rPr>
          <w:rFonts w:ascii="Times New Roman" w:hAnsi="Times New Roman"/>
          <w:sz w:val="28"/>
          <w:szCs w:val="28"/>
          <w:lang w:val="uk-UA"/>
        </w:rPr>
        <w:t>Педагогічні</w:t>
      </w:r>
      <w:proofErr w:type="spellEnd"/>
      <w:r w:rsidRPr="00DC0280">
        <w:rPr>
          <w:rFonts w:ascii="Times New Roman" w:hAnsi="Times New Roman"/>
          <w:sz w:val="28"/>
          <w:szCs w:val="28"/>
          <w:lang w:val="uk-UA"/>
        </w:rPr>
        <w:t xml:space="preserve"> звання «старший учитель» та «учитель-методист» мають (шкільний підрозділ):</w:t>
      </w:r>
    </w:p>
    <w:tbl>
      <w:tblPr>
        <w:tblW w:w="0" w:type="auto"/>
        <w:jc w:val="center"/>
        <w:tblInd w:w="-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398"/>
        <w:gridCol w:w="1873"/>
        <w:gridCol w:w="1874"/>
        <w:gridCol w:w="1873"/>
        <w:gridCol w:w="1874"/>
        <w:gridCol w:w="1874"/>
        <w:gridCol w:w="1874"/>
      </w:tblGrid>
      <w:tr w:rsidR="00610EA3" w:rsidTr="00163183">
        <w:trPr>
          <w:trHeight w:val="43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szCs w:val="24"/>
                <w:lang w:val="uk-UA"/>
              </w:rPr>
            </w:pPr>
            <w:r w:rsidRPr="009E6C74">
              <w:rPr>
                <w:rFonts w:ascii="Times New Roman" w:hAnsi="Times New Roman"/>
                <w:b/>
                <w:sz w:val="24"/>
                <w:lang w:val="uk-UA"/>
              </w:rPr>
              <w:t>Навчальний рік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3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Всього педагогів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«Старший учитель»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«Учитель-методист»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Без звання</w:t>
            </w:r>
          </w:p>
        </w:tc>
      </w:tr>
      <w:tr w:rsidR="00610EA3" w:rsidRPr="007714B5" w:rsidTr="00163183">
        <w:trPr>
          <w:trHeight w:val="39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2017/2018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7714B5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7714B5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10,8%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7714B5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7714B5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8,1%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7714B5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7714B5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81,1%</w:t>
            </w:r>
          </w:p>
        </w:tc>
      </w:tr>
      <w:tr w:rsidR="00610EA3" w:rsidRPr="003C1747" w:rsidTr="00163183">
        <w:trPr>
          <w:trHeight w:val="39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2018/2019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38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18,4%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10,5%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27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71,1%</w:t>
            </w:r>
          </w:p>
        </w:tc>
      </w:tr>
      <w:tr w:rsidR="00610EA3" w:rsidRPr="003C1747" w:rsidTr="00163183">
        <w:trPr>
          <w:trHeight w:val="39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2019/2020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37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18,9%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13,5%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25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67,6%</w:t>
            </w:r>
          </w:p>
        </w:tc>
      </w:tr>
      <w:tr w:rsidR="00610EA3" w:rsidRPr="003C1747" w:rsidTr="00163183">
        <w:trPr>
          <w:trHeight w:val="39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2020/2021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38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18,4%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13,2%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26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68,4%</w:t>
            </w:r>
          </w:p>
        </w:tc>
      </w:tr>
      <w:tr w:rsidR="00610EA3" w:rsidRPr="003C1747" w:rsidTr="00163183">
        <w:trPr>
          <w:trHeight w:val="39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9E6C74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E6C74">
              <w:rPr>
                <w:rFonts w:ascii="Times New Roman" w:hAnsi="Times New Roman"/>
                <w:sz w:val="24"/>
                <w:lang w:val="uk-UA"/>
              </w:rPr>
              <w:t>2021/2022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3C1747">
              <w:rPr>
                <w:rFonts w:ascii="Times New Roman" w:hAnsi="Times New Roman"/>
                <w:b/>
                <w:sz w:val="24"/>
                <w:lang w:val="uk-UA"/>
              </w:rPr>
              <w:t>36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22,2%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13,9%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23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A3" w:rsidRPr="003C1747" w:rsidRDefault="00610EA3" w:rsidP="0016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63,9%</w:t>
            </w:r>
          </w:p>
        </w:tc>
      </w:tr>
    </w:tbl>
    <w:p w:rsid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</w:pPr>
    </w:p>
    <w:p w:rsidR="00610EA3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9277350" cy="19335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479A" w:rsidRPr="00610EA3" w:rsidRDefault="00610EA3" w:rsidP="00610EA3">
      <w:pPr>
        <w:pStyle w:val="a6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610EA3">
        <w:rPr>
          <w:rFonts w:ascii="Times New Roman" w:hAnsi="Times New Roman"/>
          <w:b/>
          <w:color w:val="FF0000"/>
          <w:szCs w:val="28"/>
          <w:lang w:val="uk-UA"/>
        </w:rPr>
        <w:t xml:space="preserve"> </w:t>
      </w:r>
      <w:r w:rsidRPr="00610EA3">
        <w:rPr>
          <w:rFonts w:ascii="Times New Roman" w:hAnsi="Times New Roman"/>
          <w:b/>
          <w:color w:val="FF0000"/>
          <w:szCs w:val="28"/>
          <w:lang w:val="uk-UA"/>
        </w:rPr>
        <w:tab/>
      </w:r>
    </w:p>
    <w:sectPr w:rsidR="00A0479A" w:rsidRPr="00610EA3" w:rsidSect="00DC0280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EA3"/>
    <w:rsid w:val="00610EA3"/>
    <w:rsid w:val="00A0479A"/>
    <w:rsid w:val="00D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A3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0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EA3"/>
    <w:pPr>
      <w:spacing w:line="275" w:lineRule="exact"/>
      <w:ind w:left="41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E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61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610EA3"/>
    <w:pPr>
      <w:ind w:left="720"/>
      <w:contextualSpacing/>
    </w:pPr>
  </w:style>
  <w:style w:type="paragraph" w:customStyle="1" w:styleId="Standard">
    <w:name w:val="Standard"/>
    <w:rsid w:val="00610EA3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zh-CN"/>
    </w:rPr>
  </w:style>
  <w:style w:type="character" w:customStyle="1" w:styleId="11">
    <w:name w:val="Основной шрифт абзаца1"/>
    <w:rsid w:val="00610EA3"/>
  </w:style>
  <w:style w:type="paragraph" w:styleId="a7">
    <w:name w:val="Balloon Text"/>
    <w:basedOn w:val="a"/>
    <w:link w:val="a8"/>
    <w:uiPriority w:val="99"/>
    <w:semiHidden/>
    <w:unhideWhenUsed/>
    <w:rsid w:val="0061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EA3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10E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97326203208561"/>
          <c:y val="5.4945054945054944E-2"/>
          <c:w val="0.6267379679144387"/>
          <c:h val="0.74175824175824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gradFill rotWithShape="0">
              <a:gsLst>
                <a:gs pos="0">
                  <a:srgbClr val="CC99FF">
                    <a:gamma/>
                    <a:shade val="46275"/>
                    <a:invGamma/>
                  </a:srgbClr>
                </a:gs>
                <a:gs pos="50000">
                  <a:srgbClr val="CC99FF"/>
                </a:gs>
                <a:gs pos="100000">
                  <a:srgbClr val="CC99FF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gradFill rotWithShape="0">
              <a:gsLst>
                <a:gs pos="0">
                  <a:srgbClr val="00CCFF">
                    <a:gamma/>
                    <a:shade val="46275"/>
                    <a:invGamma/>
                  </a:srgbClr>
                </a:gs>
                <a:gs pos="50000">
                  <a:srgbClr val="00CCFF"/>
                </a:gs>
                <a:gs pos="100000">
                  <a:srgbClr val="00CCFF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val="FF00FF">
                      <a:gamma/>
                      <a:shade val="46275"/>
                      <a:invGamma/>
                    </a:srgbClr>
                  </a:gs>
                  <a:gs pos="50000">
                    <a:srgbClr val="FF00FF"/>
                  </a:gs>
                  <a:gs pos="100000">
                    <a:srgbClr val="FF00FF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gradFill rotWithShape="0">
              <a:gsLst>
                <a:gs pos="0">
                  <a:srgbClr val="993366">
                    <a:gamma/>
                    <a:shade val="46275"/>
                    <a:invGamma/>
                  </a:srgbClr>
                </a:gs>
                <a:gs pos="50000">
                  <a:srgbClr val="993366"/>
                </a:gs>
                <a:gs pos="100000">
                  <a:srgbClr val="993366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gradFill rotWithShape="0">
              <a:gsLst>
                <a:gs pos="0">
                  <a:srgbClr val="0000FF">
                    <a:gamma/>
                    <a:shade val="46275"/>
                    <a:invGamma/>
                  </a:srgbClr>
                </a:gs>
                <a:gs pos="5000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val="800080">
                      <a:gamma/>
                      <a:shade val="46275"/>
                      <a:invGamma/>
                    </a:srgbClr>
                  </a:gs>
                  <a:gs pos="50000">
                    <a:srgbClr val="800080"/>
                  </a:gs>
                  <a:gs pos="100000">
                    <a:srgbClr val="800080">
                      <a:gamma/>
                      <a:shade val="46275"/>
                      <a:invGamma/>
                    </a:srgbClr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gradFill rotWithShape="0">
              <a:gsLst>
                <a:gs pos="0">
                  <a:srgbClr val="660066">
                    <a:gamma/>
                    <a:shade val="46275"/>
                    <a:invGamma/>
                  </a:srgbClr>
                </a:gs>
                <a:gs pos="50000">
                  <a:srgbClr val="660066"/>
                </a:gs>
                <a:gs pos="100000">
                  <a:srgbClr val="660066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Похвальними листами та Похвальними грамотами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542976"/>
        <c:axId val="155769024"/>
      </c:barChart>
      <c:catAx>
        <c:axId val="140542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769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7690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05429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03208556149735"/>
          <c:y val="9.3406593406593436E-2"/>
          <c:w val="0.13368983957219263"/>
          <c:h val="0.664835164835164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90374331550804"/>
          <c:y val="5.4945054945054944E-2"/>
          <c:w val="0.6267379679144387"/>
          <c:h val="0.74175824175824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gradFill rotWithShape="0">
              <a:gsLst>
                <a:gs pos="0">
                  <a:srgbClr val="FFFF00">
                    <a:gamma/>
                    <a:shade val="46275"/>
                    <a:invGamma/>
                  </a:srgbClr>
                </a:gs>
                <a:gs pos="50000">
                  <a:srgbClr val="FFFF00"/>
                </a:gs>
                <a:gs pos="100000">
                  <a:srgbClr val="FFFF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gradFill rotWithShape="0">
              <a:gsLst>
                <a:gs pos="0">
                  <a:srgbClr val="FFCC00">
                    <a:gamma/>
                    <a:shade val="46275"/>
                    <a:invGamma/>
                  </a:srgbClr>
                </a:gs>
                <a:gs pos="50000">
                  <a:srgbClr val="FFCC00"/>
                </a:gs>
                <a:gs pos="100000">
                  <a:srgbClr val="FFCC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gradFill rotWithShape="0">
              <a:gsLst>
                <a:gs pos="0">
                  <a:srgbClr val="FF9900">
                    <a:gamma/>
                    <a:shade val="46275"/>
                    <a:invGamma/>
                  </a:srgbClr>
                </a:gs>
                <a:gs pos="50000">
                  <a:srgbClr val="FF9900"/>
                </a:gs>
                <a:gs pos="100000">
                  <a:srgbClr val="FF99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gradFill rotWithShape="0">
              <a:gsLst>
                <a:gs pos="0">
                  <a:srgbClr val="FF6600">
                    <a:gamma/>
                    <a:shade val="46275"/>
                    <a:invGamma/>
                  </a:srgbClr>
                </a:gs>
                <a:gs pos="50000">
                  <a:srgbClr val="FF6600"/>
                </a:gs>
                <a:gs pos="100000">
                  <a:srgbClr val="FF66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gradFill rotWithShape="0">
              <a:gsLst>
                <a:gs pos="0">
                  <a:srgbClr val="993300">
                    <a:gamma/>
                    <a:shade val="46275"/>
                    <a:invGamma/>
                  </a:srgbClr>
                </a:gs>
                <a:gs pos="50000">
                  <a:srgbClr val="993300"/>
                </a:gs>
                <a:gs pos="100000">
                  <a:srgbClr val="9933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кількість учнів нагороджених золотими та срібними медалями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543488"/>
        <c:axId val="164347904"/>
      </c:barChart>
      <c:catAx>
        <c:axId val="140543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347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34790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05434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203208556149735"/>
          <c:y val="9.3406593406593463E-2"/>
          <c:w val="0.13368983957219263"/>
          <c:h val="0.664835164835164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31606217616582"/>
          <c:y val="0"/>
          <c:w val="0.85492227979274593"/>
          <c:h val="0.86505190311418734"/>
        </c:manualLayout>
      </c:layout>
      <c:barChart>
        <c:barDir val="bar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2021/2022н.р.</c:v>
                </c:pt>
              </c:strCache>
            </c:strRef>
          </c:tx>
          <c:spPr>
            <a:gradFill rotWithShape="0">
              <a:gsLst>
                <a:gs pos="0">
                  <a:srgbClr val="FFFF00">
                    <a:gamma/>
                    <a:shade val="46275"/>
                    <a:invGamma/>
                  </a:srgbClr>
                </a:gs>
                <a:gs pos="50000">
                  <a:srgbClr val="FFFF00"/>
                </a:gs>
                <a:gs pos="100000">
                  <a:srgbClr val="FFFF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30р.</c:v>
                </c:pt>
                <c:pt idx="1">
                  <c:v>31-40р.</c:v>
                </c:pt>
                <c:pt idx="2">
                  <c:v>41-50р.</c:v>
                </c:pt>
                <c:pt idx="3">
                  <c:v>51-55р.</c:v>
                </c:pt>
                <c:pt idx="4">
                  <c:v>56-60р.</c:v>
                </c:pt>
                <c:pt idx="5">
                  <c:v>понад 60р.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4536064"/>
        <c:axId val="164349632"/>
      </c:barChart>
      <c:catAx>
        <c:axId val="184536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34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349632"/>
        <c:scaling>
          <c:orientation val="minMax"/>
        </c:scaling>
        <c:delete val="0"/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4536064"/>
        <c:crosses val="autoZero"/>
        <c:crossBetween val="between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31606217616582"/>
          <c:y val="0"/>
          <c:w val="0.85284974093264254"/>
          <c:h val="0.86505190311418734"/>
        </c:manualLayout>
      </c:layout>
      <c:barChart>
        <c:barDir val="bar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2021/2022н.р.</c:v>
                </c:pt>
              </c:strCache>
            </c:strRef>
          </c:tx>
          <c:spPr>
            <a:gradFill rotWithShape="0">
              <a:gsLst>
                <a:gs pos="0">
                  <a:srgbClr val="FFFF00">
                    <a:gamma/>
                    <a:shade val="46275"/>
                    <a:invGamma/>
                  </a:srgbClr>
                </a:gs>
                <a:gs pos="50000">
                  <a:srgbClr val="FFFF00"/>
                </a:gs>
                <a:gs pos="100000">
                  <a:srgbClr val="FFFF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до 30р.</c:v>
                </c:pt>
                <c:pt idx="1">
                  <c:v>31-40р.</c:v>
                </c:pt>
                <c:pt idx="2">
                  <c:v>41-50р.</c:v>
                </c:pt>
                <c:pt idx="3">
                  <c:v>51-55р.</c:v>
                </c:pt>
                <c:pt idx="4">
                  <c:v>56-60р.</c:v>
                </c:pt>
                <c:pt idx="5">
                  <c:v>понад 60р.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5874944"/>
        <c:axId val="164351360"/>
      </c:barChart>
      <c:catAx>
        <c:axId val="185874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35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35136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58749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590465872156102E-2"/>
          <c:y val="0"/>
          <c:w val="0.89165763813651155"/>
          <c:h val="0.82467532467532489"/>
        </c:manualLayout>
      </c:layout>
      <c:barChart>
        <c:barDir val="bar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2021/2022н.р.</c:v>
                </c:pt>
              </c:strCache>
            </c:strRef>
          </c:tx>
          <c:spPr>
            <a:gradFill rotWithShape="0">
              <a:gsLst>
                <a:gs pos="0">
                  <a:srgbClr val="FF6600">
                    <a:gamma/>
                    <a:shade val="46275"/>
                    <a:invGamma/>
                  </a:srgbClr>
                </a:gs>
                <a:gs pos="50000">
                  <a:srgbClr val="FF6600"/>
                </a:gs>
                <a:gs pos="100000">
                  <a:srgbClr val="FF66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3р.</c:v>
                </c:pt>
                <c:pt idx="1">
                  <c:v>3-10р.</c:v>
                </c:pt>
                <c:pt idx="2">
                  <c:v>15-20р.</c:v>
                </c:pt>
                <c:pt idx="3">
                  <c:v>понад 20р.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5873920"/>
        <c:axId val="164353088"/>
      </c:barChart>
      <c:catAx>
        <c:axId val="185873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353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3530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58739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590465872156102E-2"/>
          <c:y val="0"/>
          <c:w val="0.89057421451787666"/>
          <c:h val="0.82467532467532489"/>
        </c:manualLayout>
      </c:layout>
      <c:barChart>
        <c:barDir val="bar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2021/2022н.р.</c:v>
                </c:pt>
              </c:strCache>
            </c:strRef>
          </c:tx>
          <c:spPr>
            <a:gradFill rotWithShape="0">
              <a:gsLst>
                <a:gs pos="0">
                  <a:srgbClr val="FF6600">
                    <a:gamma/>
                    <a:shade val="46275"/>
                    <a:invGamma/>
                  </a:srgbClr>
                </a:gs>
                <a:gs pos="50000">
                  <a:srgbClr val="FF6600"/>
                </a:gs>
                <a:gs pos="100000">
                  <a:srgbClr val="FF66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3р.</c:v>
                </c:pt>
                <c:pt idx="1">
                  <c:v>3-10р.</c:v>
                </c:pt>
                <c:pt idx="2">
                  <c:v>15-20р.</c:v>
                </c:pt>
                <c:pt idx="3">
                  <c:v>понад 20р.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0544512"/>
        <c:axId val="164354816"/>
      </c:barChart>
      <c:catAx>
        <c:axId val="140544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354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354816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054451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71502590673576"/>
          <c:y val="0"/>
          <c:w val="0.70155440414507775"/>
          <c:h val="0.84832904884318783"/>
        </c:manualLayout>
      </c:layout>
      <c:barChart>
        <c:barDir val="bar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solidFill>
              <a:srgbClr val="660066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без категорії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40.5</c:v>
                </c:pt>
                <c:pt idx="1">
                  <c:v>13.5</c:v>
                </c:pt>
                <c:pt idx="2">
                  <c:v>16.2</c:v>
                </c:pt>
                <c:pt idx="3">
                  <c:v>10.8</c:v>
                </c:pt>
                <c:pt idx="4">
                  <c:v>19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solidFill>
              <a:srgbClr val="CC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без категорії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42.1</c:v>
                </c:pt>
                <c:pt idx="1">
                  <c:v>10.5</c:v>
                </c:pt>
                <c:pt idx="2">
                  <c:v>15.8</c:v>
                </c:pt>
                <c:pt idx="3">
                  <c:v>13.2</c:v>
                </c:pt>
                <c:pt idx="4">
                  <c:v>18.399999999999999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solidFill>
              <a:srgbClr val="00CC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без категорії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40.5</c:v>
                </c:pt>
                <c:pt idx="1">
                  <c:v>8.1</c:v>
                </c:pt>
                <c:pt idx="2">
                  <c:v>16.2</c:v>
                </c:pt>
                <c:pt idx="3">
                  <c:v>19</c:v>
                </c:pt>
                <c:pt idx="4">
                  <c:v>16.2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без категорії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36.800000000000004</c:v>
                </c:pt>
                <c:pt idx="1">
                  <c:v>10.5</c:v>
                </c:pt>
                <c:pt idx="2">
                  <c:v>21.1</c:v>
                </c:pt>
                <c:pt idx="3">
                  <c:v>18.399999999999999</c:v>
                </c:pt>
                <c:pt idx="4">
                  <c:v>13.2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solidFill>
              <a:srgbClr val="0000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вища категорія</c:v>
                </c:pt>
                <c:pt idx="1">
                  <c:v>перша категорія</c:v>
                </c:pt>
                <c:pt idx="2">
                  <c:v>друга категорія</c:v>
                </c:pt>
                <c:pt idx="3">
                  <c:v>спеціаліст</c:v>
                </c:pt>
                <c:pt idx="4">
                  <c:v>без категорії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38.9</c:v>
                </c:pt>
                <c:pt idx="1">
                  <c:v>13.9</c:v>
                </c:pt>
                <c:pt idx="2">
                  <c:v>19.399999999999999</c:v>
                </c:pt>
                <c:pt idx="3">
                  <c:v>13.9</c:v>
                </c:pt>
                <c:pt idx="4">
                  <c:v>13.9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4534528"/>
        <c:axId val="185827904"/>
      </c:barChart>
      <c:catAx>
        <c:axId val="184534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5827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827904"/>
        <c:scaling>
          <c:orientation val="minMax"/>
        </c:scaling>
        <c:delete val="0"/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4534528"/>
        <c:crosses val="autoZero"/>
        <c:crossBetween val="between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04663212435233"/>
          <c:y val="0.21336760925449871"/>
          <c:w val="0.12538860103626942"/>
          <c:h val="0.44215938303341901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5492227979276"/>
          <c:y val="0"/>
          <c:w val="0.6860103626943006"/>
          <c:h val="0.84455958549222776"/>
        </c:manualLayout>
      </c:layout>
      <c:barChart>
        <c:barDir val="bar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2017/2018 н.р.</c:v>
                </c:pt>
              </c:strCache>
            </c:strRef>
          </c:tx>
          <c:spPr>
            <a:solidFill>
              <a:srgbClr val="660066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"старший учитель"</c:v>
                </c:pt>
                <c:pt idx="1">
                  <c:v>"учитель-методист"</c:v>
                </c:pt>
                <c:pt idx="2">
                  <c:v>без звання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10.8</c:v>
                </c:pt>
                <c:pt idx="1">
                  <c:v>8.1</c:v>
                </c:pt>
                <c:pt idx="2">
                  <c:v>81.099999999999994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2018/2019 н.р.</c:v>
                </c:pt>
              </c:strCache>
            </c:strRef>
          </c:tx>
          <c:spPr>
            <a:solidFill>
              <a:srgbClr val="CC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"старший учитель"</c:v>
                </c:pt>
                <c:pt idx="1">
                  <c:v>"учитель-методист"</c:v>
                </c:pt>
                <c:pt idx="2">
                  <c:v>без звання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18.399999999999999</c:v>
                </c:pt>
                <c:pt idx="1">
                  <c:v>10.5</c:v>
                </c:pt>
                <c:pt idx="2">
                  <c:v>71.099999999999994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2019/2020 н.р.</c:v>
                </c:pt>
              </c:strCache>
            </c:strRef>
          </c:tx>
          <c:spPr>
            <a:solidFill>
              <a:srgbClr val="00CC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"старший учитель"</c:v>
                </c:pt>
                <c:pt idx="1">
                  <c:v>"учитель-методист"</c:v>
                </c:pt>
                <c:pt idx="2">
                  <c:v>без звання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18.899999999999999</c:v>
                </c:pt>
                <c:pt idx="1">
                  <c:v>13.5</c:v>
                </c:pt>
                <c:pt idx="2">
                  <c:v>67.599999999999994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2020/2021 н.р.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"старший учитель"</c:v>
                </c:pt>
                <c:pt idx="1">
                  <c:v>"учитель-методист"</c:v>
                </c:pt>
                <c:pt idx="2">
                  <c:v>без звання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18.399999999999999</c:v>
                </c:pt>
                <c:pt idx="1">
                  <c:v>13.2</c:v>
                </c:pt>
                <c:pt idx="2">
                  <c:v>68.400000000000006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2021/2022 н.р.</c:v>
                </c:pt>
              </c:strCache>
            </c:strRef>
          </c:tx>
          <c:spPr>
            <a:solidFill>
              <a:srgbClr val="0000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"старший учитель"</c:v>
                </c:pt>
                <c:pt idx="1">
                  <c:v>"учитель-методист"</c:v>
                </c:pt>
                <c:pt idx="2">
                  <c:v>без звання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22.2</c:v>
                </c:pt>
                <c:pt idx="1">
                  <c:v>13.9</c:v>
                </c:pt>
                <c:pt idx="2">
                  <c:v>63.9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6003968"/>
        <c:axId val="185829632"/>
      </c:barChart>
      <c:catAx>
        <c:axId val="186003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58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829632"/>
        <c:scaling>
          <c:orientation val="minMax"/>
        </c:scaling>
        <c:delete val="0"/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003968"/>
        <c:crosses val="autoZero"/>
        <c:crossBetween val="between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04663212435233"/>
          <c:y val="0"/>
          <c:w val="0.12538860103626942"/>
          <c:h val="0.89119170984455953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1730</Words>
  <Characters>9864</Characters>
  <Application>Microsoft Office Word</Application>
  <DocSecurity>0</DocSecurity>
  <Lines>82</Lines>
  <Paragraphs>23</Paragraphs>
  <ScaleCrop>false</ScaleCrop>
  <Company>Computer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2023-05-02T10:08:00Z</dcterms:created>
  <dcterms:modified xsi:type="dcterms:W3CDTF">2023-05-02T10:21:00Z</dcterms:modified>
</cp:coreProperties>
</file>