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1A5" w:rsidRDefault="004F206B" w:rsidP="00B55573">
      <w:pPr>
        <w:spacing w:after="0" w:line="360" w:lineRule="auto"/>
        <w:ind w:left="-567" w:right="-284"/>
        <w:jc w:val="center"/>
        <w:rPr>
          <w:rFonts w:ascii="Times New Roman" w:hAnsi="Times New Roman" w:cs="Times New Roman"/>
          <w:b/>
          <w:bCs/>
          <w:i/>
          <w:iCs/>
          <w:sz w:val="40"/>
          <w:szCs w:val="40"/>
        </w:rPr>
      </w:pPr>
      <w:r w:rsidRPr="004F206B">
        <w:rPr>
          <w:rFonts w:ascii="Times New Roman" w:hAnsi="Times New Roman" w:cs="Times New Roman"/>
          <w:b/>
          <w:bCs/>
          <w:i/>
          <w:iCs/>
          <w:sz w:val="40"/>
          <w:szCs w:val="40"/>
        </w:rPr>
        <w:t xml:space="preserve">Кодекс </w:t>
      </w:r>
    </w:p>
    <w:p w:rsidR="004F206B" w:rsidRPr="004F206B" w:rsidRDefault="004F206B" w:rsidP="002E71A5">
      <w:pPr>
        <w:spacing w:after="0" w:line="360" w:lineRule="auto"/>
        <w:ind w:left="-567" w:right="-284"/>
        <w:jc w:val="center"/>
        <w:rPr>
          <w:rFonts w:ascii="Times New Roman" w:hAnsi="Times New Roman" w:cs="Times New Roman"/>
          <w:b/>
          <w:bCs/>
          <w:i/>
          <w:iCs/>
          <w:sz w:val="40"/>
          <w:szCs w:val="40"/>
        </w:rPr>
      </w:pPr>
      <w:r w:rsidRPr="004F206B">
        <w:rPr>
          <w:rFonts w:ascii="Times New Roman" w:hAnsi="Times New Roman" w:cs="Times New Roman"/>
          <w:b/>
          <w:bCs/>
          <w:i/>
          <w:iCs/>
          <w:sz w:val="40"/>
          <w:szCs w:val="40"/>
        </w:rPr>
        <w:t xml:space="preserve"> академічної доброчесності</w:t>
      </w:r>
      <w:r w:rsidR="005A0DD6" w:rsidRPr="005A0DD6">
        <w:rPr>
          <w:rFonts w:ascii="Times New Roman" w:hAnsi="Times New Roman" w:cs="Times New Roman"/>
          <w:b/>
          <w:bCs/>
          <w:i/>
          <w:iCs/>
          <w:sz w:val="40"/>
          <w:szCs w:val="40"/>
        </w:rPr>
        <w:t xml:space="preserve"> </w:t>
      </w:r>
      <w:r w:rsidR="00B57080">
        <w:rPr>
          <w:rFonts w:ascii="Times New Roman" w:hAnsi="Times New Roman" w:cs="Times New Roman"/>
          <w:b/>
          <w:bCs/>
          <w:i/>
          <w:iCs/>
          <w:sz w:val="40"/>
          <w:szCs w:val="40"/>
        </w:rPr>
        <w:t>п</w:t>
      </w:r>
      <w:r w:rsidRPr="004F206B">
        <w:rPr>
          <w:rFonts w:ascii="Times New Roman" w:hAnsi="Times New Roman" w:cs="Times New Roman"/>
          <w:b/>
          <w:bCs/>
          <w:i/>
          <w:iCs/>
          <w:sz w:val="40"/>
          <w:szCs w:val="40"/>
        </w:rPr>
        <w:t>е</w:t>
      </w:r>
      <w:r w:rsidR="005A0DD6">
        <w:rPr>
          <w:rFonts w:ascii="Times New Roman" w:hAnsi="Times New Roman" w:cs="Times New Roman"/>
          <w:b/>
          <w:bCs/>
          <w:i/>
          <w:iCs/>
          <w:sz w:val="40"/>
          <w:szCs w:val="40"/>
        </w:rPr>
        <w:t>дагогічних працівників Кривченсь</w:t>
      </w:r>
      <w:r w:rsidRPr="004F206B">
        <w:rPr>
          <w:rFonts w:ascii="Times New Roman" w:hAnsi="Times New Roman" w:cs="Times New Roman"/>
          <w:b/>
          <w:bCs/>
          <w:i/>
          <w:iCs/>
          <w:sz w:val="40"/>
          <w:szCs w:val="40"/>
        </w:rPr>
        <w:t>кої ЗОШ І – ІІ</w:t>
      </w:r>
      <w:r w:rsidR="005A0DD6">
        <w:rPr>
          <w:rFonts w:ascii="Times New Roman" w:hAnsi="Times New Roman" w:cs="Times New Roman"/>
          <w:b/>
          <w:bCs/>
          <w:i/>
          <w:iCs/>
          <w:sz w:val="40"/>
          <w:szCs w:val="40"/>
        </w:rPr>
        <w:t>І</w:t>
      </w:r>
      <w:r w:rsidRPr="004F206B">
        <w:rPr>
          <w:rFonts w:ascii="Times New Roman" w:hAnsi="Times New Roman" w:cs="Times New Roman"/>
          <w:b/>
          <w:bCs/>
          <w:i/>
          <w:iCs/>
          <w:sz w:val="40"/>
          <w:szCs w:val="40"/>
        </w:rPr>
        <w:t xml:space="preserve"> ступенів</w:t>
      </w:r>
    </w:p>
    <w:p w:rsidR="004F206B" w:rsidRPr="004F206B" w:rsidRDefault="004F206B" w:rsidP="00B55573">
      <w:pPr>
        <w:spacing w:after="0" w:line="360" w:lineRule="auto"/>
        <w:ind w:left="-567" w:right="-284"/>
        <w:jc w:val="both"/>
        <w:rPr>
          <w:rFonts w:ascii="Times New Roman" w:hAnsi="Times New Roman" w:cs="Times New Roman"/>
          <w:sz w:val="28"/>
          <w:szCs w:val="28"/>
        </w:rPr>
      </w:pPr>
    </w:p>
    <w:p w:rsidR="004F206B" w:rsidRPr="004F206B" w:rsidRDefault="004F206B" w:rsidP="00B55573">
      <w:pPr>
        <w:spacing w:after="0" w:line="360" w:lineRule="auto"/>
        <w:ind w:left="-567" w:right="-284" w:firstLine="708"/>
        <w:jc w:val="both"/>
        <w:rPr>
          <w:rFonts w:ascii="Times New Roman" w:hAnsi="Times New Roman" w:cs="Times New Roman"/>
          <w:sz w:val="28"/>
          <w:szCs w:val="28"/>
        </w:rPr>
      </w:pPr>
      <w:r w:rsidRPr="004F206B">
        <w:rPr>
          <w:rFonts w:ascii="Times New Roman" w:hAnsi="Times New Roman" w:cs="Times New Roman"/>
          <w:sz w:val="28"/>
          <w:szCs w:val="28"/>
        </w:rPr>
        <w:t>Академічна доброчесність-це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4F206B" w:rsidRPr="004F206B" w:rsidRDefault="00A531F4" w:rsidP="00B55573">
      <w:pPr>
        <w:spacing w:after="0"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ab/>
      </w:r>
      <w:r w:rsidR="004F206B" w:rsidRPr="004F206B">
        <w:rPr>
          <w:rFonts w:ascii="Times New Roman" w:hAnsi="Times New Roman" w:cs="Times New Roman"/>
          <w:sz w:val="28"/>
          <w:szCs w:val="28"/>
        </w:rPr>
        <w:t>Порушеннями академічної доброчесності згідно ст.42 п.4 Закону України «Про освіту» вважається:</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Академічний плагіат</w:t>
      </w:r>
      <w:r w:rsidRPr="0029460E">
        <w:rPr>
          <w:rFonts w:ascii="Times New Roman" w:hAnsi="Times New Roman" w:cs="Times New Roman"/>
          <w:sz w:val="28"/>
          <w:szCs w:val="28"/>
        </w:rPr>
        <w:t xml:space="preserve">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Самоплагіат</w:t>
      </w:r>
      <w:r w:rsidRPr="0029460E">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Фабрикація</w:t>
      </w:r>
      <w:r w:rsidRPr="0029460E">
        <w:rPr>
          <w:rFonts w:ascii="Times New Roman" w:hAnsi="Times New Roman" w:cs="Times New Roman"/>
          <w:sz w:val="28"/>
          <w:szCs w:val="28"/>
        </w:rPr>
        <w:t xml:space="preserve"> – вигадування даних чи фактів, що використовуються в освітньому процесі або наукових дослідженнях.</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Фальсифікація</w:t>
      </w:r>
      <w:r w:rsidRPr="0029460E">
        <w:rPr>
          <w:rFonts w:ascii="Times New Roman" w:hAnsi="Times New Roman" w:cs="Times New Roman"/>
          <w:sz w:val="28"/>
          <w:szCs w:val="28"/>
        </w:rPr>
        <w:t xml:space="preserve"> – свідома зміна чи модифікація вже наявних даних, що стосуються освітнього процесу чи наукових досліджень.</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Списування</w:t>
      </w:r>
      <w:r w:rsidRPr="0029460E">
        <w:rPr>
          <w:rFonts w:ascii="Times New Roman" w:hAnsi="Times New Roman" w:cs="Times New Roman"/>
          <w:sz w:val="28"/>
          <w:szCs w:val="28"/>
        </w:rPr>
        <w:t xml:space="preserve"> –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Обман</w:t>
      </w:r>
      <w:r w:rsidRPr="0029460E">
        <w:rPr>
          <w:rFonts w:ascii="Times New Roman" w:hAnsi="Times New Roman" w:cs="Times New Roman"/>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lastRenderedPageBreak/>
        <w:t>Хабарництво</w:t>
      </w:r>
      <w:r w:rsidRPr="0029460E">
        <w:rPr>
          <w:rFonts w:ascii="Times New Roman" w:hAnsi="Times New Roman" w:cs="Times New Roman"/>
          <w:sz w:val="28"/>
          <w:szCs w:val="28"/>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Зловживання впливом</w:t>
      </w:r>
      <w:r w:rsidRPr="0029460E">
        <w:rPr>
          <w:rFonts w:ascii="Times New Roman" w:hAnsi="Times New Roman" w:cs="Times New Roman"/>
          <w:sz w:val="28"/>
          <w:szCs w:val="28"/>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4F206B" w:rsidRPr="0029460E" w:rsidRDefault="004F206B" w:rsidP="0029460E">
      <w:pPr>
        <w:pStyle w:val="a3"/>
        <w:numPr>
          <w:ilvl w:val="0"/>
          <w:numId w:val="4"/>
        </w:numPr>
        <w:spacing w:after="0" w:line="360" w:lineRule="auto"/>
        <w:ind w:right="-284"/>
        <w:jc w:val="both"/>
        <w:rPr>
          <w:rFonts w:ascii="Times New Roman" w:hAnsi="Times New Roman" w:cs="Times New Roman"/>
          <w:sz w:val="28"/>
          <w:szCs w:val="28"/>
        </w:rPr>
      </w:pPr>
      <w:r w:rsidRPr="0029460E">
        <w:rPr>
          <w:rFonts w:ascii="Times New Roman" w:hAnsi="Times New Roman" w:cs="Times New Roman"/>
          <w:b/>
          <w:bCs/>
          <w:sz w:val="28"/>
          <w:szCs w:val="28"/>
          <w:u w:val="single"/>
        </w:rPr>
        <w:t>Необ’єктивне оцінювання</w:t>
      </w:r>
      <w:r w:rsidRPr="0029460E">
        <w:rPr>
          <w:rFonts w:ascii="Times New Roman" w:hAnsi="Times New Roman" w:cs="Times New Roman"/>
          <w:sz w:val="28"/>
          <w:szCs w:val="28"/>
        </w:rPr>
        <w:t xml:space="preserve"> – свідоме завищення або заниження оцінки результатів навчання здобувачів освіти.</w:t>
      </w:r>
    </w:p>
    <w:p w:rsidR="00FA0346" w:rsidRDefault="004F206B" w:rsidP="00B55573">
      <w:p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ab/>
        <w:t xml:space="preserve">Згідно </w:t>
      </w:r>
      <w:r w:rsidRPr="004B7765">
        <w:rPr>
          <w:rFonts w:ascii="Times New Roman" w:hAnsi="Times New Roman" w:cs="Times New Roman"/>
          <w:b/>
          <w:bCs/>
          <w:sz w:val="28"/>
          <w:szCs w:val="28"/>
        </w:rPr>
        <w:t>«Положення про академічну доброчесність учасни</w:t>
      </w:r>
      <w:r w:rsidR="005A0DD6">
        <w:rPr>
          <w:rFonts w:ascii="Times New Roman" w:hAnsi="Times New Roman" w:cs="Times New Roman"/>
          <w:b/>
          <w:bCs/>
          <w:sz w:val="28"/>
          <w:szCs w:val="28"/>
        </w:rPr>
        <w:t>ків освітнього процесу Кривченської ЗОШ І-ІІІ</w:t>
      </w:r>
      <w:r w:rsidRPr="004B7765">
        <w:rPr>
          <w:rFonts w:ascii="Times New Roman" w:hAnsi="Times New Roman" w:cs="Times New Roman"/>
          <w:b/>
          <w:bCs/>
          <w:sz w:val="28"/>
          <w:szCs w:val="28"/>
        </w:rPr>
        <w:t>ст.»</w:t>
      </w:r>
      <w:r w:rsidRPr="004F206B">
        <w:rPr>
          <w:rFonts w:ascii="Times New Roman" w:hAnsi="Times New Roman" w:cs="Times New Roman"/>
          <w:sz w:val="28"/>
          <w:szCs w:val="28"/>
        </w:rPr>
        <w:t xml:space="preserve"> (пункту 3.</w:t>
      </w:r>
      <w:r>
        <w:rPr>
          <w:rFonts w:ascii="Times New Roman" w:hAnsi="Times New Roman" w:cs="Times New Roman"/>
          <w:sz w:val="28"/>
          <w:szCs w:val="28"/>
        </w:rPr>
        <w:t>2</w:t>
      </w:r>
      <w:r w:rsidRPr="004F206B">
        <w:rPr>
          <w:rFonts w:ascii="Times New Roman" w:hAnsi="Times New Roman" w:cs="Times New Roman"/>
          <w:sz w:val="28"/>
          <w:szCs w:val="28"/>
        </w:rPr>
        <w:t>):</w:t>
      </w:r>
    </w:p>
    <w:p w:rsidR="004F206B" w:rsidRPr="004F206B" w:rsidRDefault="004F206B" w:rsidP="00B55573">
      <w:pPr>
        <w:spacing w:after="0" w:line="360" w:lineRule="auto"/>
        <w:ind w:left="-567" w:right="-284" w:firstLine="708"/>
        <w:jc w:val="both"/>
        <w:rPr>
          <w:rFonts w:ascii="Times New Roman" w:hAnsi="Times New Roman" w:cs="Times New Roman"/>
          <w:sz w:val="28"/>
          <w:szCs w:val="28"/>
        </w:rPr>
      </w:pPr>
      <w:r w:rsidRPr="004F206B">
        <w:rPr>
          <w:rFonts w:ascii="Times New Roman" w:hAnsi="Times New Roman" w:cs="Times New Roman"/>
          <w:b/>
          <w:bCs/>
          <w:sz w:val="28"/>
          <w:szCs w:val="28"/>
          <w:u w:val="single"/>
        </w:rPr>
        <w:t xml:space="preserve">Академічна доброчесність </w:t>
      </w:r>
      <w:r w:rsidR="00D704EB">
        <w:rPr>
          <w:rFonts w:ascii="Times New Roman" w:hAnsi="Times New Roman" w:cs="Times New Roman"/>
          <w:b/>
          <w:bCs/>
          <w:sz w:val="28"/>
          <w:szCs w:val="28"/>
          <w:u w:val="single"/>
        </w:rPr>
        <w:t>п</w:t>
      </w:r>
      <w:r w:rsidRPr="004F206B">
        <w:rPr>
          <w:rFonts w:ascii="Times New Roman" w:hAnsi="Times New Roman" w:cs="Times New Roman"/>
          <w:b/>
          <w:bCs/>
          <w:sz w:val="28"/>
          <w:szCs w:val="28"/>
          <w:u w:val="single"/>
        </w:rPr>
        <w:t>едагогічними працівниками забезпечується шляхом</w:t>
      </w:r>
      <w:r w:rsidRPr="004F206B">
        <w:rPr>
          <w:rFonts w:ascii="Times New Roman" w:hAnsi="Times New Roman" w:cs="Times New Roman"/>
          <w:sz w:val="28"/>
          <w:szCs w:val="28"/>
        </w:rPr>
        <w:t>:</w:t>
      </w:r>
    </w:p>
    <w:p w:rsidR="004F206B" w:rsidRP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Якісного, вчасного та результативного виконання своїх функціональних обов’язків.</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Дотримання правил внутрішнього розпорядку, трудової дисципліни, корпоративної етики.</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 xml:space="preserve"> 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Незалежності професійної діяльності від політичних партій, громадських і релігійних організацій.</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Підвищення своєї кваліфікації шляхом саморозвитку і самовдосконалення, а також вчасного проходження відповідно до вимог законодавства курсової підготовки.</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Дотримання правил посилання на джерела інформації у разі використання відомостей, написання методичних матеріалів, наукових робіт, тощо.</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Надання якісних освітніх послуг з використанням в практичній професійній діяльності інноваційних здобутків в галузі освіти.</w:t>
      </w:r>
    </w:p>
    <w:p w:rsidR="00B55573"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Об’єктивного і неупередженого оцінювання результатів навчання здобувачів освіти.</w:t>
      </w:r>
    </w:p>
    <w:p w:rsidR="004F206B" w:rsidRPr="00B55573"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B55573">
        <w:rPr>
          <w:rFonts w:ascii="Times New Roman" w:hAnsi="Times New Roman" w:cs="Times New Roman"/>
          <w:sz w:val="28"/>
          <w:szCs w:val="28"/>
        </w:rPr>
        <w:t>Здійснення контролю за дотриманням академічної доброчесності здобувачами загальної середньої освіти.</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lastRenderedPageBreak/>
        <w:t>Інформування здобувачів освіти про типові порушення академічної доброчесності та види відповідальності за її порушення.</w:t>
      </w:r>
    </w:p>
    <w:p w:rsidR="004F206B" w:rsidRDefault="004F206B" w:rsidP="00B55573">
      <w:pPr>
        <w:pStyle w:val="a3"/>
        <w:numPr>
          <w:ilvl w:val="0"/>
          <w:numId w:val="1"/>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Не розголошення конфіденційної інформації, інформації з обмеженим доступом та інших видів інформації відповідно до вимог законодавства в сфері інформації та звернення громадян.</w:t>
      </w:r>
    </w:p>
    <w:p w:rsidR="004F206B" w:rsidRDefault="004F206B" w:rsidP="00B55573">
      <w:pPr>
        <w:spacing w:after="0" w:line="360" w:lineRule="auto"/>
        <w:ind w:left="-567" w:right="-284" w:firstLine="360"/>
        <w:jc w:val="both"/>
        <w:rPr>
          <w:rFonts w:ascii="Times New Roman" w:hAnsi="Times New Roman" w:cs="Times New Roman"/>
          <w:b/>
          <w:bCs/>
          <w:sz w:val="28"/>
          <w:szCs w:val="28"/>
          <w:u w:val="single"/>
        </w:rPr>
      </w:pPr>
      <w:r w:rsidRPr="004F206B">
        <w:rPr>
          <w:rFonts w:ascii="Times New Roman" w:hAnsi="Times New Roman" w:cs="Times New Roman"/>
          <w:b/>
          <w:bCs/>
          <w:sz w:val="28"/>
          <w:szCs w:val="28"/>
          <w:u w:val="single"/>
        </w:rPr>
        <w:t xml:space="preserve">Неприйнятним для всіх учасників шкільної спільноти є </w:t>
      </w:r>
      <w:bookmarkStart w:id="0" w:name="_Hlk30762989"/>
      <w:r w:rsidRPr="004F206B">
        <w:rPr>
          <w:rFonts w:ascii="Times New Roman" w:hAnsi="Times New Roman" w:cs="Times New Roman"/>
          <w:sz w:val="28"/>
          <w:szCs w:val="28"/>
          <w:u w:val="single"/>
        </w:rPr>
        <w:t>(пункт 3.</w:t>
      </w:r>
      <w:r w:rsidR="00D704EB">
        <w:rPr>
          <w:rFonts w:ascii="Times New Roman" w:hAnsi="Times New Roman" w:cs="Times New Roman"/>
          <w:sz w:val="28"/>
          <w:szCs w:val="28"/>
          <w:u w:val="single"/>
        </w:rPr>
        <w:t>5</w:t>
      </w:r>
      <w:r w:rsidRPr="004F206B">
        <w:rPr>
          <w:rFonts w:ascii="Times New Roman" w:hAnsi="Times New Roman" w:cs="Times New Roman"/>
          <w:sz w:val="28"/>
          <w:szCs w:val="28"/>
          <w:u w:val="single"/>
        </w:rPr>
        <w:t xml:space="preserve"> «Положення…»)</w:t>
      </w:r>
      <w:r w:rsidRPr="004F206B">
        <w:rPr>
          <w:rFonts w:ascii="Times New Roman" w:hAnsi="Times New Roman" w:cs="Times New Roman"/>
          <w:b/>
          <w:bCs/>
          <w:sz w:val="28"/>
          <w:szCs w:val="28"/>
          <w:u w:val="single"/>
        </w:rPr>
        <w:t>:</w:t>
      </w:r>
      <w:bookmarkEnd w:id="0"/>
    </w:p>
    <w:p w:rsidR="004F206B" w:rsidRPr="004F206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Навмисне перешкоджання навчальній чи трудовій діяльності членів спільноти.</w:t>
      </w:r>
    </w:p>
    <w:p w:rsidR="004F206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Участь у будь-якій діяльності, що пов’язана з обманом, нечесністю; підробка та використання документів.</w:t>
      </w:r>
    </w:p>
    <w:p w:rsidR="004F206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 xml:space="preserve"> Перевищення повноважень, що передбачені посадовими інструкціями, контрактами.</w:t>
      </w:r>
    </w:p>
    <w:p w:rsidR="004F206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Використання мобільних телефонів під час навчальних занять, нарад або офіційних заходів.</w:t>
      </w:r>
    </w:p>
    <w:p w:rsidR="004F206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 xml:space="preserve">Вживання наркотичних речовин, алкогольних напоїв, паління у тому числі і </w:t>
      </w:r>
      <w:bookmarkStart w:id="1" w:name="_GoBack"/>
      <w:r w:rsidRPr="004F206B">
        <w:rPr>
          <w:rFonts w:ascii="Times New Roman" w:hAnsi="Times New Roman" w:cs="Times New Roman"/>
          <w:sz w:val="28"/>
          <w:szCs w:val="28"/>
        </w:rPr>
        <w:t xml:space="preserve">електронних сигарет, поява у стані алкогольного, наркотичного та токсичного </w:t>
      </w:r>
      <w:bookmarkEnd w:id="1"/>
      <w:r w:rsidRPr="004F206B">
        <w:rPr>
          <w:rFonts w:ascii="Times New Roman" w:hAnsi="Times New Roman" w:cs="Times New Roman"/>
          <w:sz w:val="28"/>
          <w:szCs w:val="28"/>
        </w:rPr>
        <w:t>сп’яніння.</w:t>
      </w:r>
    </w:p>
    <w:p w:rsidR="00D704EB" w:rsidRDefault="004F206B" w:rsidP="00B55573">
      <w:pPr>
        <w:pStyle w:val="a3"/>
        <w:numPr>
          <w:ilvl w:val="0"/>
          <w:numId w:val="2"/>
        </w:numPr>
        <w:spacing w:after="0" w:line="360" w:lineRule="auto"/>
        <w:ind w:left="-567" w:right="-284"/>
        <w:jc w:val="both"/>
        <w:rPr>
          <w:rFonts w:ascii="Times New Roman" w:hAnsi="Times New Roman" w:cs="Times New Roman"/>
          <w:sz w:val="28"/>
          <w:szCs w:val="28"/>
        </w:rPr>
      </w:pPr>
      <w:r w:rsidRPr="004F206B">
        <w:rPr>
          <w:rFonts w:ascii="Times New Roman" w:hAnsi="Times New Roman" w:cs="Times New Roman"/>
          <w:sz w:val="28"/>
          <w:szCs w:val="28"/>
        </w:rPr>
        <w:t>Пронесення зброї, використання газових балончиків та інших речей, що можуть зашкодити здоров’ю та життю людини.</w:t>
      </w:r>
    </w:p>
    <w:p w:rsidR="00D704EB" w:rsidRPr="00D704EB" w:rsidRDefault="00D704EB" w:rsidP="00B55573">
      <w:pPr>
        <w:spacing w:after="0" w:line="360" w:lineRule="auto"/>
        <w:ind w:left="-567" w:right="-284" w:firstLine="348"/>
        <w:jc w:val="both"/>
        <w:rPr>
          <w:rFonts w:ascii="Times New Roman" w:hAnsi="Times New Roman" w:cs="Times New Roman"/>
          <w:sz w:val="28"/>
          <w:szCs w:val="28"/>
        </w:rPr>
      </w:pPr>
      <w:r w:rsidRPr="00D704EB">
        <w:rPr>
          <w:rFonts w:ascii="Times New Roman" w:hAnsi="Times New Roman" w:cs="Times New Roman"/>
          <w:b/>
          <w:bCs/>
          <w:sz w:val="28"/>
          <w:szCs w:val="28"/>
          <w:u w:val="single"/>
        </w:rPr>
        <w:t xml:space="preserve">Відповідальність за порушення академічної доброчесності педагогічними працівниками </w:t>
      </w:r>
      <w:r w:rsidRPr="00D704EB">
        <w:rPr>
          <w:rFonts w:ascii="Times New Roman" w:hAnsi="Times New Roman" w:cs="Times New Roman"/>
          <w:sz w:val="28"/>
          <w:szCs w:val="28"/>
          <w:u w:val="single"/>
        </w:rPr>
        <w:t>(пункт 5 «Положення…»)</w:t>
      </w:r>
      <w:r w:rsidRPr="00D704EB">
        <w:rPr>
          <w:rFonts w:ascii="Times New Roman" w:hAnsi="Times New Roman" w:cs="Times New Roman"/>
          <w:b/>
          <w:bCs/>
          <w:sz w:val="28"/>
          <w:szCs w:val="28"/>
          <w:u w:val="single"/>
        </w:rPr>
        <w:t>:</w:t>
      </w:r>
    </w:p>
    <w:p w:rsidR="00D704EB" w:rsidRPr="00D704EB" w:rsidRDefault="00D704EB" w:rsidP="00B55573">
      <w:pPr>
        <w:pStyle w:val="a3"/>
        <w:numPr>
          <w:ilvl w:val="0"/>
          <w:numId w:val="3"/>
        </w:numPr>
        <w:spacing w:after="0" w:line="360" w:lineRule="auto"/>
        <w:ind w:left="-567" w:right="-284"/>
        <w:jc w:val="both"/>
        <w:rPr>
          <w:rFonts w:ascii="Times New Roman" w:hAnsi="Times New Roman" w:cs="Times New Roman"/>
          <w:sz w:val="28"/>
          <w:szCs w:val="28"/>
        </w:rPr>
      </w:pPr>
      <w:r w:rsidRPr="00D704EB">
        <w:rPr>
          <w:rFonts w:ascii="Times New Roman" w:hAnsi="Times New Roman" w:cs="Times New Roman"/>
          <w:sz w:val="28"/>
          <w:szCs w:val="28"/>
        </w:rPr>
        <w:t>Відмова у встановленні кваліфікаційної категорії, присвоєнні педагогічного звання.</w:t>
      </w:r>
    </w:p>
    <w:p w:rsidR="00D704EB" w:rsidRDefault="00D704EB" w:rsidP="00B55573">
      <w:pPr>
        <w:pStyle w:val="a3"/>
        <w:numPr>
          <w:ilvl w:val="0"/>
          <w:numId w:val="3"/>
        </w:numPr>
        <w:spacing w:after="0" w:line="360" w:lineRule="auto"/>
        <w:ind w:left="-567" w:right="-284"/>
        <w:jc w:val="both"/>
        <w:rPr>
          <w:rFonts w:ascii="Times New Roman" w:hAnsi="Times New Roman" w:cs="Times New Roman"/>
          <w:sz w:val="28"/>
          <w:szCs w:val="28"/>
        </w:rPr>
      </w:pPr>
      <w:r w:rsidRPr="00D704EB">
        <w:rPr>
          <w:rFonts w:ascii="Times New Roman" w:hAnsi="Times New Roman" w:cs="Times New Roman"/>
          <w:sz w:val="28"/>
          <w:szCs w:val="28"/>
        </w:rPr>
        <w:t>Позбавлення раніше встановленої категорії.</w:t>
      </w:r>
    </w:p>
    <w:p w:rsidR="003703A2" w:rsidRDefault="00D704EB" w:rsidP="003703A2">
      <w:pPr>
        <w:pStyle w:val="a3"/>
        <w:numPr>
          <w:ilvl w:val="0"/>
          <w:numId w:val="3"/>
        </w:numPr>
        <w:spacing w:after="0" w:line="360" w:lineRule="auto"/>
        <w:ind w:left="-567" w:right="-284"/>
        <w:jc w:val="both"/>
        <w:rPr>
          <w:rFonts w:ascii="Times New Roman" w:hAnsi="Times New Roman" w:cs="Times New Roman"/>
          <w:sz w:val="28"/>
          <w:szCs w:val="28"/>
        </w:rPr>
      </w:pPr>
      <w:r w:rsidRPr="00D704EB">
        <w:rPr>
          <w:rFonts w:ascii="Times New Roman" w:hAnsi="Times New Roman" w:cs="Times New Roman"/>
          <w:sz w:val="28"/>
          <w:szCs w:val="28"/>
        </w:rPr>
        <w:t>Позбавлення права брати участь у роботі визначених законом органів чи займати визначені законом посади.</w:t>
      </w:r>
    </w:p>
    <w:p w:rsidR="003703A2" w:rsidRPr="006F67A1" w:rsidRDefault="006F67A1" w:rsidP="006F67A1">
      <w:pPr>
        <w:spacing w:after="0" w:line="360" w:lineRule="auto"/>
        <w:ind w:left="-927" w:right="-284" w:firstLine="360"/>
        <w:jc w:val="center"/>
        <w:rPr>
          <w:rFonts w:ascii="Times New Roman" w:hAnsi="Times New Roman" w:cs="Times New Roman"/>
          <w:b/>
          <w:bCs/>
          <w:i/>
          <w:iCs/>
          <w:color w:val="FF0000"/>
          <w:sz w:val="36"/>
          <w:szCs w:val="36"/>
        </w:rPr>
      </w:pPr>
      <w:r w:rsidRPr="006F67A1">
        <w:rPr>
          <w:rFonts w:ascii="Times New Roman" w:hAnsi="Times New Roman" w:cs="Times New Roman"/>
          <w:b/>
          <w:bCs/>
          <w:i/>
          <w:iCs/>
          <w:color w:val="FF0000"/>
          <w:sz w:val="36"/>
          <w:szCs w:val="36"/>
        </w:rPr>
        <w:t>Увага</w:t>
      </w:r>
    </w:p>
    <w:p w:rsidR="00D704EB" w:rsidRPr="003703A2" w:rsidRDefault="00B55573" w:rsidP="003703A2">
      <w:pPr>
        <w:spacing w:after="0" w:line="360" w:lineRule="auto"/>
        <w:ind w:left="-927" w:right="-284" w:firstLine="360"/>
        <w:jc w:val="both"/>
        <w:rPr>
          <w:rFonts w:ascii="Times New Roman" w:hAnsi="Times New Roman" w:cs="Times New Roman"/>
          <w:sz w:val="28"/>
          <w:szCs w:val="28"/>
        </w:rPr>
      </w:pPr>
      <w:r w:rsidRPr="003703A2">
        <w:rPr>
          <w:rFonts w:ascii="Times New Roman" w:hAnsi="Times New Roman" w:cs="Times New Roman"/>
          <w:b/>
          <w:bCs/>
          <w:i/>
          <w:iCs/>
          <w:sz w:val="28"/>
          <w:szCs w:val="28"/>
        </w:rPr>
        <w:t>Не дотримання, незнання або нерозуміння норм Кодексу не є виправданням неетичної поведінки педагогічних працівників. Для повного ознайомлення із змістом «Положення про академічну доброчесність учасни</w:t>
      </w:r>
      <w:r w:rsidR="005A0DD6">
        <w:rPr>
          <w:rFonts w:ascii="Times New Roman" w:hAnsi="Times New Roman" w:cs="Times New Roman"/>
          <w:b/>
          <w:bCs/>
          <w:i/>
          <w:iCs/>
          <w:sz w:val="28"/>
          <w:szCs w:val="28"/>
        </w:rPr>
        <w:t>ків освітнього процесу Кривченсь</w:t>
      </w:r>
      <w:r w:rsidRPr="003703A2">
        <w:rPr>
          <w:rFonts w:ascii="Times New Roman" w:hAnsi="Times New Roman" w:cs="Times New Roman"/>
          <w:b/>
          <w:bCs/>
          <w:i/>
          <w:iCs/>
          <w:sz w:val="28"/>
          <w:szCs w:val="28"/>
        </w:rPr>
        <w:t>кої ЗОШ І-ІІ</w:t>
      </w:r>
      <w:r w:rsidR="005A0DD6">
        <w:rPr>
          <w:rFonts w:ascii="Times New Roman" w:hAnsi="Times New Roman" w:cs="Times New Roman"/>
          <w:b/>
          <w:bCs/>
          <w:i/>
          <w:iCs/>
          <w:sz w:val="28"/>
          <w:szCs w:val="28"/>
        </w:rPr>
        <w:t>І</w:t>
      </w:r>
      <w:r w:rsidRPr="003703A2">
        <w:rPr>
          <w:rFonts w:ascii="Times New Roman" w:hAnsi="Times New Roman" w:cs="Times New Roman"/>
          <w:b/>
          <w:bCs/>
          <w:i/>
          <w:iCs/>
          <w:sz w:val="28"/>
          <w:szCs w:val="28"/>
        </w:rPr>
        <w:t xml:space="preserve"> ст.», школа забезпечує публічний доступ через офіційний сайт.</w:t>
      </w:r>
    </w:p>
    <w:sectPr w:rsidR="00D704EB" w:rsidRPr="003703A2" w:rsidSect="00B55573">
      <w:footerReference w:type="default" r:id="rId7"/>
      <w:pgSz w:w="11906" w:h="16838"/>
      <w:pgMar w:top="850"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0B6" w:rsidRDefault="008830B6" w:rsidP="003703A2">
      <w:pPr>
        <w:spacing w:after="0" w:line="240" w:lineRule="auto"/>
      </w:pPr>
      <w:r>
        <w:separator/>
      </w:r>
    </w:p>
  </w:endnote>
  <w:endnote w:type="continuationSeparator" w:id="1">
    <w:p w:rsidR="008830B6" w:rsidRDefault="008830B6" w:rsidP="00370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50955"/>
      <w:docPartObj>
        <w:docPartGallery w:val="Page Numbers (Bottom of Page)"/>
        <w:docPartUnique/>
      </w:docPartObj>
    </w:sdtPr>
    <w:sdtContent>
      <w:p w:rsidR="003703A2" w:rsidRDefault="003A5D32">
        <w:pPr>
          <w:pStyle w:val="a6"/>
          <w:jc w:val="center"/>
        </w:pPr>
        <w:r>
          <w:fldChar w:fldCharType="begin"/>
        </w:r>
        <w:r w:rsidR="003703A2">
          <w:instrText>PAGE   \* MERGEFORMAT</w:instrText>
        </w:r>
        <w:r>
          <w:fldChar w:fldCharType="separate"/>
        </w:r>
        <w:r w:rsidR="005A0DD6" w:rsidRPr="005A0DD6">
          <w:rPr>
            <w:noProof/>
            <w:lang w:val="ru-RU"/>
          </w:rPr>
          <w:t>2</w:t>
        </w:r>
        <w:r>
          <w:fldChar w:fldCharType="end"/>
        </w:r>
      </w:p>
    </w:sdtContent>
  </w:sdt>
  <w:p w:rsidR="003703A2" w:rsidRDefault="003703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0B6" w:rsidRDefault="008830B6" w:rsidP="003703A2">
      <w:pPr>
        <w:spacing w:after="0" w:line="240" w:lineRule="auto"/>
      </w:pPr>
      <w:r>
        <w:separator/>
      </w:r>
    </w:p>
  </w:footnote>
  <w:footnote w:type="continuationSeparator" w:id="1">
    <w:p w:rsidR="008830B6" w:rsidRDefault="008830B6" w:rsidP="003703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81F5F"/>
    <w:multiLevelType w:val="hybridMultilevel"/>
    <w:tmpl w:val="946A29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5F556F3"/>
    <w:multiLevelType w:val="hybridMultilevel"/>
    <w:tmpl w:val="541C5216"/>
    <w:lvl w:ilvl="0" w:tplc="EA78B1AA">
      <w:numFmt w:val="bullet"/>
      <w:lvlText w:val="-"/>
      <w:lvlJc w:val="left"/>
      <w:pPr>
        <w:ind w:left="-207" w:hanging="360"/>
      </w:pPr>
      <w:rPr>
        <w:rFonts w:ascii="Times New Roman" w:eastAsiaTheme="minorHAnsi" w:hAnsi="Times New Roman" w:cs="Times New Roman" w:hint="default"/>
      </w:rPr>
    </w:lvl>
    <w:lvl w:ilvl="1" w:tplc="04220003" w:tentative="1">
      <w:start w:val="1"/>
      <w:numFmt w:val="bullet"/>
      <w:lvlText w:val="o"/>
      <w:lvlJc w:val="left"/>
      <w:pPr>
        <w:ind w:left="513" w:hanging="360"/>
      </w:pPr>
      <w:rPr>
        <w:rFonts w:ascii="Courier New" w:hAnsi="Courier New" w:cs="Courier New" w:hint="default"/>
      </w:rPr>
    </w:lvl>
    <w:lvl w:ilvl="2" w:tplc="04220005" w:tentative="1">
      <w:start w:val="1"/>
      <w:numFmt w:val="bullet"/>
      <w:lvlText w:val=""/>
      <w:lvlJc w:val="left"/>
      <w:pPr>
        <w:ind w:left="1233" w:hanging="360"/>
      </w:pPr>
      <w:rPr>
        <w:rFonts w:ascii="Wingdings" w:hAnsi="Wingdings" w:hint="default"/>
      </w:rPr>
    </w:lvl>
    <w:lvl w:ilvl="3" w:tplc="04220001" w:tentative="1">
      <w:start w:val="1"/>
      <w:numFmt w:val="bullet"/>
      <w:lvlText w:val=""/>
      <w:lvlJc w:val="left"/>
      <w:pPr>
        <w:ind w:left="1953" w:hanging="360"/>
      </w:pPr>
      <w:rPr>
        <w:rFonts w:ascii="Symbol" w:hAnsi="Symbol" w:hint="default"/>
      </w:rPr>
    </w:lvl>
    <w:lvl w:ilvl="4" w:tplc="04220003" w:tentative="1">
      <w:start w:val="1"/>
      <w:numFmt w:val="bullet"/>
      <w:lvlText w:val="o"/>
      <w:lvlJc w:val="left"/>
      <w:pPr>
        <w:ind w:left="2673" w:hanging="360"/>
      </w:pPr>
      <w:rPr>
        <w:rFonts w:ascii="Courier New" w:hAnsi="Courier New" w:cs="Courier New" w:hint="default"/>
      </w:rPr>
    </w:lvl>
    <w:lvl w:ilvl="5" w:tplc="04220005" w:tentative="1">
      <w:start w:val="1"/>
      <w:numFmt w:val="bullet"/>
      <w:lvlText w:val=""/>
      <w:lvlJc w:val="left"/>
      <w:pPr>
        <w:ind w:left="3393" w:hanging="360"/>
      </w:pPr>
      <w:rPr>
        <w:rFonts w:ascii="Wingdings" w:hAnsi="Wingdings" w:hint="default"/>
      </w:rPr>
    </w:lvl>
    <w:lvl w:ilvl="6" w:tplc="04220001" w:tentative="1">
      <w:start w:val="1"/>
      <w:numFmt w:val="bullet"/>
      <w:lvlText w:val=""/>
      <w:lvlJc w:val="left"/>
      <w:pPr>
        <w:ind w:left="4113" w:hanging="360"/>
      </w:pPr>
      <w:rPr>
        <w:rFonts w:ascii="Symbol" w:hAnsi="Symbol" w:hint="default"/>
      </w:rPr>
    </w:lvl>
    <w:lvl w:ilvl="7" w:tplc="04220003" w:tentative="1">
      <w:start w:val="1"/>
      <w:numFmt w:val="bullet"/>
      <w:lvlText w:val="o"/>
      <w:lvlJc w:val="left"/>
      <w:pPr>
        <w:ind w:left="4833" w:hanging="360"/>
      </w:pPr>
      <w:rPr>
        <w:rFonts w:ascii="Courier New" w:hAnsi="Courier New" w:cs="Courier New" w:hint="default"/>
      </w:rPr>
    </w:lvl>
    <w:lvl w:ilvl="8" w:tplc="04220005" w:tentative="1">
      <w:start w:val="1"/>
      <w:numFmt w:val="bullet"/>
      <w:lvlText w:val=""/>
      <w:lvlJc w:val="left"/>
      <w:pPr>
        <w:ind w:left="5553" w:hanging="360"/>
      </w:pPr>
      <w:rPr>
        <w:rFonts w:ascii="Wingdings" w:hAnsi="Wingdings" w:hint="default"/>
      </w:rPr>
    </w:lvl>
  </w:abstractNum>
  <w:abstractNum w:abstractNumId="2">
    <w:nsid w:val="6F9A350A"/>
    <w:multiLevelType w:val="hybridMultilevel"/>
    <w:tmpl w:val="1C206AE8"/>
    <w:lvl w:ilvl="0" w:tplc="CB46C486">
      <w:start w:val="1"/>
      <w:numFmt w:val="decimal"/>
      <w:lvlText w:val="%1."/>
      <w:lvlJc w:val="left"/>
      <w:pPr>
        <w:ind w:left="735" w:hanging="375"/>
      </w:pPr>
      <w:rPr>
        <w:rFonts w:hint="default"/>
        <w:b/>
        <w:bCs/>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B537FE5"/>
    <w:multiLevelType w:val="hybridMultilevel"/>
    <w:tmpl w:val="482E6D4E"/>
    <w:lvl w:ilvl="0" w:tplc="ACAA8E32">
      <w:start w:val="1"/>
      <w:numFmt w:val="decimal"/>
      <w:lvlText w:val="%1."/>
      <w:lvlJc w:val="left"/>
      <w:pPr>
        <w:ind w:left="765" w:hanging="405"/>
      </w:pPr>
      <w:rPr>
        <w:rFonts w:hint="default"/>
        <w:b/>
        <w:bCs/>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041FF"/>
    <w:rsid w:val="0029460E"/>
    <w:rsid w:val="002E71A5"/>
    <w:rsid w:val="003703A2"/>
    <w:rsid w:val="003A5D32"/>
    <w:rsid w:val="004B7765"/>
    <w:rsid w:val="004F206B"/>
    <w:rsid w:val="00576F89"/>
    <w:rsid w:val="005A0DD6"/>
    <w:rsid w:val="006F67A1"/>
    <w:rsid w:val="007E6DCF"/>
    <w:rsid w:val="008830B6"/>
    <w:rsid w:val="00A041FF"/>
    <w:rsid w:val="00A531F4"/>
    <w:rsid w:val="00B55573"/>
    <w:rsid w:val="00B57080"/>
    <w:rsid w:val="00C32F7C"/>
    <w:rsid w:val="00D704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06B"/>
    <w:pPr>
      <w:ind w:left="720"/>
      <w:contextualSpacing/>
    </w:pPr>
  </w:style>
  <w:style w:type="paragraph" w:styleId="a4">
    <w:name w:val="header"/>
    <w:basedOn w:val="a"/>
    <w:link w:val="a5"/>
    <w:uiPriority w:val="99"/>
    <w:unhideWhenUsed/>
    <w:rsid w:val="003703A2"/>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703A2"/>
  </w:style>
  <w:style w:type="paragraph" w:styleId="a6">
    <w:name w:val="footer"/>
    <w:basedOn w:val="a"/>
    <w:link w:val="a7"/>
    <w:uiPriority w:val="99"/>
    <w:unhideWhenUsed/>
    <w:rsid w:val="003703A2"/>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703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3264</Words>
  <Characters>1861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Учні</dc:creator>
  <cp:keywords/>
  <dc:description/>
  <cp:lastModifiedBy>Admin</cp:lastModifiedBy>
  <cp:revision>14</cp:revision>
  <cp:lastPrinted>2020-01-29T07:18:00Z</cp:lastPrinted>
  <dcterms:created xsi:type="dcterms:W3CDTF">2020-01-24T10:42:00Z</dcterms:created>
  <dcterms:modified xsi:type="dcterms:W3CDTF">2020-02-13T12:27:00Z</dcterms:modified>
</cp:coreProperties>
</file>