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lineRule="auto" w:line="276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ЗВІТ ДИРЕКТОРА КОЗАЦЬКОГО ЛІЦЕЮ НОВОКАХОВСЬКОЇ МІСЬКОЇ РАДИ</w:t>
      </w:r>
    </w:p>
    <w:p>
      <w:pPr>
        <w:pStyle w:val="Style16"/>
        <w:spacing w:lineRule="auto" w:line="276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uk-UA"/>
        </w:rPr>
        <w:t xml:space="preserve">СВІТЛАНИ ГЕТЬМАН </w:t>
      </w:r>
    </w:p>
    <w:p>
      <w:pPr>
        <w:pStyle w:val="Style16"/>
        <w:spacing w:lineRule="auto" w:line="276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uk-UA"/>
        </w:rPr>
        <w:t>ЗА 202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uk-UA"/>
        </w:rPr>
        <w:t>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uk-UA"/>
        </w:rPr>
        <w:t>/202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uk-UA"/>
        </w:rPr>
        <w:t xml:space="preserve">  НАВЧАЛЬНИЙ РІК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Загальні відомості про умови функціонування Козацького ліцею Новокаховської міської ради у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навчальному році.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 Загальна інформація про заклад освіти.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Козацький ліцей Новокаховської міської ради – заклад повної загальної середньої освіти, є комунальним неприбутковим освітнім закладом Новокаховської міської ради. Освітні послуги за рівнем повної загальної середньої освіти заклад надає згідно з ліцензією серії АА №120876, виданою Херсонською обласною державною адміністрацією. Навчальний заклад здійснює свою діяльність відповідно до Статуту, затвердженого рішенням 77 сесії 7 скликання Новокаховської міської ради від 13.02.2020 №2603.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ab/>
        <w:t>Головними завданнями закладу як соціально-педагогічної системи є забезпечення реалізації права громадян на загальну середню освіту, формування і розвиток соціально зрілої, творчої особистості з усвідомленою громадянською позицією, почуттям національної свідомості, підготовленої до професійного самовизначення, а також створення умов для оволодіння системою наукових знань про природу, людину і суспільство.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 Основні пріоритети розвитку закладу освіти у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навчальному році.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Основні пріоритети розвитку ліцею у 2024/2025 навчальному році: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Безпека учасників освітнього процесу.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Забезпечення якості освіти в контексті сучасних викликів, подолання освітніх втрат.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Національно-патріотичне виховання як чинник формування національної ідентичності.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Робота закладу була спрямована на виконання законів України «Про освіту», «Про повну загальну середню освіту» від 16.01.2020 № 463-ІХ, “Про забезпечення функціонування української мови як державної” від 25.04.2019 № 2704-VIII, “Про основні засади державної політики у сфері утвердження української національної та громадянської ідентичності” від 13.12.2022 № 2834-IX, Національної доктрини розвитку освіти, затвердженої Указом Президента України від 17.04.2002 № 347/2002, реалізацію державних, регіональних та районних програм у галузі освіти, інших законодавчих та нормативних документів.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Організація освітнього процесу у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навчальному році.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uk-UA"/>
        </w:rPr>
        <w:t xml:space="preserve">2.1.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/>
        </w:rPr>
        <w:t>Режим  роботи закладу освіти.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ab/>
        <w:t>У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/202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навчальному році заклад здійснював освітній процес за дистанційною формою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здобуття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освіти у режимі п’ятиденного робочого тижня. Структура навчального року, а також тижневе навантаження здобувачів освіти встановлювалися закладом в межах часу, що передбачений робочим навчальним планом.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Навчальний рік тривав з 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вересня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року до </w:t>
      </w:r>
      <w:r>
        <w:rPr>
          <w:rFonts w:ascii="Times New Roman" w:hAnsi="Times New Roman"/>
          <w:color w:val="000000"/>
          <w:sz w:val="24"/>
          <w:szCs w:val="24"/>
        </w:rPr>
        <w:t>06</w:t>
      </w:r>
      <w:r>
        <w:rPr>
          <w:rFonts w:ascii="Times New Roman" w:hAnsi="Times New Roman"/>
          <w:color w:val="000000"/>
          <w:sz w:val="24"/>
          <w:szCs w:val="24"/>
        </w:rPr>
        <w:t xml:space="preserve"> червня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року, поділявся на два семестри: з 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вересня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року до 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грудня 202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року, з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січня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року до 3</w:t>
      </w:r>
      <w:r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травня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року. Рішенням педагогічної ради №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від 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травня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року освітній процес було продовжено до </w:t>
      </w:r>
      <w:r>
        <w:rPr>
          <w:rFonts w:ascii="Times New Roman" w:hAnsi="Times New Roman"/>
          <w:color w:val="000000"/>
          <w:sz w:val="24"/>
          <w:szCs w:val="24"/>
        </w:rPr>
        <w:t>06</w:t>
      </w:r>
      <w:r>
        <w:rPr>
          <w:rFonts w:ascii="Times New Roman" w:hAnsi="Times New Roman"/>
          <w:color w:val="000000"/>
          <w:sz w:val="24"/>
          <w:szCs w:val="24"/>
        </w:rPr>
        <w:t xml:space="preserve"> червня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року для здобувачів освіти, які тимчасово проживають (перебувають) за кордоном, та учнів, які знаходять на тимчасово окупованих територіях, </w:t>
      </w:r>
      <w:r>
        <w:rPr>
          <w:rFonts w:ascii="Times New Roman" w:hAnsi="Times New Roman"/>
          <w:color w:val="000000"/>
          <w:sz w:val="24"/>
          <w:szCs w:val="24"/>
        </w:rPr>
        <w:t>з метою проведення консультацій, індивідуальних та групових занять задля надолуження освітніх втрат</w:t>
      </w:r>
      <w:r>
        <w:rPr>
          <w:rFonts w:ascii="Times New Roman" w:hAnsi="Times New Roman"/>
          <w:color w:val="000000"/>
          <w:sz w:val="24"/>
          <w:szCs w:val="24"/>
        </w:rPr>
        <w:t>. Упродовж навчального року для здобувачів освіти проводилися канікули: осінні з 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.10.202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до </w:t>
      </w:r>
      <w:r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, зимові з </w:t>
      </w:r>
      <w:r>
        <w:rPr>
          <w:rFonts w:ascii="Times New Roman" w:hAnsi="Times New Roman"/>
          <w:color w:val="000000"/>
          <w:sz w:val="24"/>
          <w:szCs w:val="24"/>
        </w:rPr>
        <w:t>28</w:t>
      </w:r>
      <w:r>
        <w:rPr>
          <w:rFonts w:ascii="Times New Roman" w:hAnsi="Times New Roman"/>
          <w:color w:val="000000"/>
          <w:sz w:val="24"/>
          <w:szCs w:val="24"/>
        </w:rPr>
        <w:t>.12.202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до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.01.202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, весняні з 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.03.202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до 3</w:t>
      </w:r>
      <w:r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.03.202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Style16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ab/>
        <w:t xml:space="preserve">Організація здобуття освіти за дистанційною формою здійснювалася відповідно до Положення про дистанційну форму здобуття повної загальної середньої освіти, затвердженого наказом Міністерства освіти і науки України від 08 вересня 2020 року           № 1115, зареєстрованого в Міністерстві юстиції України 28 вересня 2020 року за                   № 941/35224, Санітарного регламенту для закладів загальної середньої освіти, затвердженого наказом Міністерства охорони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>здоров'я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України 25 вересня 2020 року № 2205, зареєстрованого в Міністерстві юстиції України 10 листопада 2020 року за № 1111/35394. Під час складання розкладу уроків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було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врахов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ано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індивідуальн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зайнятість учнів в іноземних школах, закладах позашкільної освіти. Навчальні заняття в ліцеї було організовано за двома тижнями: тиждень А та Б. Частина класів навчалася у 1 зміну з 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.00 години, частина — у другу зміну з 14.00 години. </w:t>
      </w:r>
      <w:r>
        <w:rPr>
          <w:rStyle w:val="Spanrvts0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uk-UA" w:eastAsia="uk-UA"/>
        </w:rPr>
        <w:t>Відповідно до пункту 10 розділу V Санітарного регламенту безперервна тривалість навчальних занять при організації дистанційного навчання у синхронному форматі не перевищувала для учнів:</w:t>
      </w:r>
    </w:p>
    <w:p>
      <w:pPr>
        <w:pStyle w:val="Style16"/>
        <w:spacing w:lineRule="auto" w:line="276" w:before="0" w:after="0"/>
        <w:jc w:val="both"/>
        <w:rPr/>
      </w:pPr>
      <w:bookmarkStart w:id="0" w:name="n565"/>
      <w:bookmarkEnd w:id="0"/>
      <w:r>
        <w:rPr>
          <w:rStyle w:val="Spanrvts0"/>
          <w:rFonts w:ascii="Times New Roman" w:hAnsi="Times New Roman"/>
          <w:color w:val="000000"/>
          <w:sz w:val="24"/>
          <w:szCs w:val="24"/>
        </w:rPr>
        <w:t>1-2 класів - 2 навчальних заняття по 30 хвилин або 3 - по 20 хвилин;</w:t>
      </w:r>
    </w:p>
    <w:p>
      <w:pPr>
        <w:pStyle w:val="Style16"/>
        <w:spacing w:lineRule="auto" w:line="276" w:before="0" w:after="0"/>
        <w:jc w:val="both"/>
        <w:rPr/>
      </w:pPr>
      <w:bookmarkStart w:id="1" w:name="n566"/>
      <w:bookmarkEnd w:id="1"/>
      <w:r>
        <w:rPr>
          <w:rStyle w:val="Spanrvts0"/>
          <w:rFonts w:ascii="Times New Roman" w:hAnsi="Times New Roman"/>
          <w:color w:val="000000"/>
          <w:sz w:val="24"/>
          <w:szCs w:val="24"/>
        </w:rPr>
        <w:t>3-4 класів - 2 навчальних заняття по 45 хвилин або 3 - по 30 хвилин, або 4 - по 20 хвилин;</w:t>
      </w:r>
    </w:p>
    <w:p>
      <w:pPr>
        <w:pStyle w:val="Style16"/>
        <w:spacing w:lineRule="auto" w:line="276" w:before="0" w:after="0"/>
        <w:jc w:val="both"/>
        <w:rPr/>
      </w:pPr>
      <w:bookmarkStart w:id="2" w:name="n567"/>
      <w:bookmarkEnd w:id="2"/>
      <w:r>
        <w:rPr>
          <w:rStyle w:val="Spanrvts0"/>
          <w:rFonts w:ascii="Times New Roman" w:hAnsi="Times New Roman"/>
          <w:color w:val="000000"/>
          <w:sz w:val="24"/>
          <w:szCs w:val="24"/>
        </w:rPr>
        <w:t>5-6 класів - 2 навчальних заняття по 45 хвилин або 3 - по 35 хвилин, або 4 - по 25 хвилин;</w:t>
      </w:r>
    </w:p>
    <w:p>
      <w:pPr>
        <w:pStyle w:val="Style16"/>
        <w:spacing w:lineRule="auto" w:line="276" w:before="0" w:after="0"/>
        <w:jc w:val="both"/>
        <w:rPr/>
      </w:pPr>
      <w:bookmarkStart w:id="3" w:name="n568"/>
      <w:bookmarkEnd w:id="3"/>
      <w:r>
        <w:rPr>
          <w:rStyle w:val="Spanrvts0"/>
          <w:rFonts w:ascii="Times New Roman" w:hAnsi="Times New Roman"/>
          <w:color w:val="000000"/>
          <w:sz w:val="24"/>
          <w:szCs w:val="24"/>
        </w:rPr>
        <w:t>7-9 класів - 2 навчальних заняття по 45 хвилин або 3 - по 40 хвилин, або 4 - по 30 хвилин, або 5 - по 25 хвилин;</w:t>
      </w:r>
    </w:p>
    <w:p>
      <w:pPr>
        <w:pStyle w:val="Style16"/>
        <w:spacing w:lineRule="auto" w:line="276" w:before="0" w:after="0"/>
        <w:jc w:val="both"/>
        <w:rPr/>
      </w:pPr>
      <w:bookmarkStart w:id="4" w:name="n569"/>
      <w:bookmarkEnd w:id="4"/>
      <w:r>
        <w:rPr>
          <w:rStyle w:val="Spanrvts0"/>
          <w:rFonts w:ascii="Times New Roman" w:hAnsi="Times New Roman"/>
          <w:color w:val="000000"/>
          <w:sz w:val="24"/>
          <w:szCs w:val="24"/>
        </w:rPr>
        <w:t>10-11 класів - 3 навчальних заняття по 45 хвилин або 4 - по 35 хвилин, або 5 - по 30 хвилин, або 6 - по 25 хвилин.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uk-UA"/>
        </w:rPr>
        <w:t>2.2. Мережа класів.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ab/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Педагогічний колектив закладу проводив роботу щодо збереження й розвитку мережі класів  закладу.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онтингент здобувачів освіти ліцею зменшувався упродовж навчального року через вибуття учнів у зв'язку зі зміною постійного місця проживання їх сімей.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На початок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 навчального року у закладі налічувалося 10 класів, усього здобувачів освіти – 2</w:t>
      </w:r>
      <w:r>
        <w:rPr>
          <w:rFonts w:ascii="Times New Roman" w:hAnsi="Times New Roman"/>
          <w:color w:val="000000"/>
          <w:sz w:val="24"/>
          <w:szCs w:val="24"/>
        </w:rPr>
        <w:t>51</w:t>
      </w:r>
      <w:r>
        <w:rPr>
          <w:rFonts w:ascii="Times New Roman" w:hAnsi="Times New Roman"/>
          <w:color w:val="000000"/>
          <w:sz w:val="24"/>
          <w:szCs w:val="24"/>
        </w:rPr>
        <w:t xml:space="preserve"> особ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з них: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школа І ступеня – 3 клас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52</w:t>
      </w:r>
      <w:r>
        <w:rPr>
          <w:rFonts w:ascii="Times New Roman" w:hAnsi="Times New Roman"/>
          <w:color w:val="000000"/>
          <w:sz w:val="24"/>
          <w:szCs w:val="24"/>
        </w:rPr>
        <w:t xml:space="preserve"> ос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школа ІІ ступеня– 5 класів (1</w:t>
      </w:r>
      <w:r>
        <w:rPr>
          <w:rFonts w:ascii="Times New Roman" w:hAnsi="Times New Roman"/>
          <w:color w:val="000000"/>
          <w:sz w:val="24"/>
          <w:szCs w:val="24"/>
        </w:rPr>
        <w:t>36</w:t>
      </w:r>
      <w:r>
        <w:rPr>
          <w:rFonts w:ascii="Times New Roman" w:hAnsi="Times New Roman"/>
          <w:color w:val="000000"/>
          <w:sz w:val="24"/>
          <w:szCs w:val="24"/>
        </w:rPr>
        <w:t xml:space="preserve"> осіб),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школа ІІІ ступеня – 2 класи (</w:t>
      </w:r>
      <w:r>
        <w:rPr>
          <w:rFonts w:ascii="Times New Roman" w:hAnsi="Times New Roman"/>
          <w:color w:val="000000"/>
          <w:sz w:val="24"/>
          <w:szCs w:val="24"/>
        </w:rPr>
        <w:t>63</w:t>
      </w:r>
      <w:r>
        <w:rPr>
          <w:rFonts w:ascii="Times New Roman" w:hAnsi="Times New Roman"/>
          <w:color w:val="000000"/>
          <w:sz w:val="24"/>
          <w:szCs w:val="24"/>
        </w:rPr>
        <w:t xml:space="preserve"> особ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Середня наповнюваність класів складала 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ос</w:t>
      </w:r>
      <w:r>
        <w:rPr>
          <w:rFonts w:ascii="Times New Roman" w:hAnsi="Times New Roman"/>
          <w:color w:val="000000"/>
          <w:sz w:val="24"/>
          <w:szCs w:val="24"/>
        </w:rPr>
        <w:t>іб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>Один учень здобував освіту на індивідуальній формі (педагогічний патронаж).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На кінець навчального року відраховано з 11 класу </w:t>
      </w:r>
      <w:r>
        <w:rPr>
          <w:rFonts w:ascii="Times New Roman" w:hAnsi="Times New Roman"/>
          <w:color w:val="000000"/>
          <w:sz w:val="24"/>
          <w:szCs w:val="24"/>
        </w:rPr>
        <w:t>31</w:t>
      </w:r>
      <w:r>
        <w:rPr>
          <w:rFonts w:ascii="Times New Roman" w:hAnsi="Times New Roman"/>
          <w:color w:val="000000"/>
          <w:sz w:val="24"/>
          <w:szCs w:val="24"/>
        </w:rPr>
        <w:t xml:space="preserve"> здобувач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освіти, до 1 класу зараховано 9 осіб.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Мережа станом на 3</w:t>
      </w:r>
      <w:r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.05.202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р. становила: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усього здобувачів освіти – 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6 осіб, з них: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школа І ступеня – 3 класів (</w:t>
      </w:r>
      <w:r>
        <w:rPr>
          <w:rFonts w:ascii="Times New Roman" w:hAnsi="Times New Roman"/>
          <w:color w:val="000000"/>
          <w:sz w:val="24"/>
          <w:szCs w:val="24"/>
        </w:rPr>
        <w:t>55</w:t>
      </w:r>
      <w:r>
        <w:rPr>
          <w:rFonts w:ascii="Times New Roman" w:hAnsi="Times New Roman"/>
          <w:color w:val="000000"/>
          <w:sz w:val="24"/>
          <w:szCs w:val="24"/>
        </w:rPr>
        <w:t xml:space="preserve"> ос</w:t>
      </w:r>
      <w:r>
        <w:rPr>
          <w:rFonts w:ascii="Times New Roman" w:hAnsi="Times New Roman"/>
          <w:color w:val="000000"/>
          <w:sz w:val="24"/>
          <w:szCs w:val="24"/>
        </w:rPr>
        <w:t>іб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школа ІІ ступеня– 5 класів (1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2 ос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школа ІІІ ступеня – 2 класи (</w:t>
      </w:r>
      <w:r>
        <w:rPr>
          <w:rFonts w:ascii="Times New Roman" w:hAnsi="Times New Roman"/>
          <w:color w:val="000000"/>
          <w:sz w:val="24"/>
          <w:szCs w:val="24"/>
        </w:rPr>
        <w:t>59</w:t>
      </w:r>
      <w:r>
        <w:rPr>
          <w:rFonts w:ascii="Times New Roman" w:hAnsi="Times New Roman"/>
          <w:color w:val="000000"/>
          <w:sz w:val="24"/>
          <w:szCs w:val="24"/>
        </w:rPr>
        <w:t xml:space="preserve"> осіб).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2.3. Профільне вивчення предметів.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ab/>
        <w:t xml:space="preserve">У школі ІІІ ступеня для учні 10-11 класів організоване профільне навчання  </w:t>
      </w:r>
      <w:r>
        <w:rPr>
          <w:rFonts w:eastAsia="Symbol" w:cs="Cambria Math" w:ascii="Times New Roman" w:hAnsi="Times New Roman"/>
          <w:color w:val="000000"/>
          <w:sz w:val="24"/>
          <w:szCs w:val="24"/>
          <w:lang w:val="uk-UA"/>
        </w:rPr>
        <w:t>⎯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філологічний напрям, профільний предмет — українська мова.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2.4. Організація інклюзивного навчання.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eastAsia="Calibri" w:cs="Times New Roman" w:ascii="Times New Roman" w:hAnsi="Times New Roman"/>
          <w:color w:val="000000"/>
          <w:kern w:val="2"/>
          <w:sz w:val="24"/>
          <w:szCs w:val="24"/>
          <w:lang w:val="uk-UA" w:eastAsia="en-US"/>
        </w:rPr>
        <w:t xml:space="preserve">З метою реалізації державної політики щодо забезпечення права дітей, які потребують корекції фізичного розвитку, на здобуття якісної освіти, інтеграції їх у суспільство шляхом запровадження інклюзивного навчання </w:t>
      </w:r>
      <w:r>
        <w:rPr>
          <w:rFonts w:eastAsia="Calibri" w:cs="Times New Roman" w:ascii="Times New Roman" w:hAnsi="Times New Roman"/>
          <w:color w:val="000000"/>
          <w:kern w:val="2"/>
          <w:sz w:val="24"/>
          <w:szCs w:val="24"/>
          <w:lang w:val="uk-UA" w:eastAsia="en-US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навчальному році заклад організував роботу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класів з інклюзивним навчанням з метою створення рівних умов доступу до якісної освіти 4 дітям з особливими освітніми потребами, </w:t>
      </w:r>
      <w:r>
        <w:rPr>
          <w:rFonts w:eastAsia="Calibri" w:cs="Times New Roman" w:ascii="Times New Roman" w:hAnsi="Times New Roman"/>
          <w:color w:val="000000"/>
          <w:kern w:val="2"/>
          <w:sz w:val="24"/>
          <w:szCs w:val="24"/>
          <w:lang w:val="uk-UA" w:eastAsia="en-US"/>
        </w:rPr>
        <w:t>1 дитина з ООП здобувала освіту на індивідуальній формі (педагогічний патронаж)</w:t>
      </w:r>
      <w:r>
        <w:rPr>
          <w:rFonts w:ascii="Times New Roman" w:hAnsi="Times New Roman"/>
          <w:color w:val="000000"/>
          <w:sz w:val="24"/>
          <w:szCs w:val="24"/>
        </w:rPr>
        <w:t xml:space="preserve">. Освітній процес у класах з інклюзивним навчанням здійснювався відповідно до робочих навчальних планів для 5, 6, </w:t>
      </w:r>
      <w:r>
        <w:rPr>
          <w:rFonts w:ascii="Times New Roman" w:hAnsi="Times New Roman"/>
          <w:color w:val="000000"/>
          <w:sz w:val="24"/>
          <w:szCs w:val="24"/>
        </w:rPr>
        <w:t>7, 8</w:t>
      </w:r>
      <w:r>
        <w:rPr>
          <w:rFonts w:ascii="Times New Roman" w:hAnsi="Times New Roman"/>
          <w:color w:val="000000"/>
          <w:sz w:val="24"/>
          <w:szCs w:val="24"/>
        </w:rPr>
        <w:t xml:space="preserve"> класів, а особистісно орієнтоване спрямування його забезпечували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асистенти вчителя. Якісне планування, реалізацію та корекцію індивідуальних програм розвитку учнів з ООП забезпечувала психолого-педагогічна команда супроводу на чолі з заступником директора з навчально-виховної роботи Моцьо Ольгою у співпраці з працівниками ІРЦ Новокаховської міської ради. </w:t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uk-UA" w:eastAsia="zh-CN" w:bidi="ar-SA"/>
        </w:rPr>
        <w:tab/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uk-UA" w:eastAsia="zh-CN" w:bidi="ar-SA"/>
        </w:rPr>
        <w:t>Відповідно до результатів висновків про комплексну психолого-педагогічної оцінку розвитку дитини,  інтелектуальних освітніх труднощів та журналу спостережень (перші два тижня навчання) командою психолого-педагогічного супроводу ліцею разом з батьками дітей з ООП та фахівцями ІРЦ були узгоджені індивідуальні програми розвитку дітей, адаптува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uk-UA" w:eastAsia="zh-CN" w:bidi="ar-SA"/>
        </w:rPr>
        <w:t>но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uk-UA" w:eastAsia="zh-CN" w:bidi="ar-SA"/>
        </w:rPr>
        <w:t xml:space="preserve"> 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uk-UA" w:eastAsia="zh-CN" w:bidi="ar-SA"/>
        </w:rPr>
        <w:t xml:space="preserve">та модифіковано 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uk-UA" w:eastAsia="zh-CN" w:bidi="ar-SA"/>
        </w:rPr>
        <w:t>навчальні матеріали.</w:t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uk-UA" w:eastAsia="zh-CN" w:bidi="ar-SA"/>
        </w:rPr>
        <w:tab/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uk-UA" w:eastAsia="zh-CN" w:bidi="ar-SA"/>
        </w:rPr>
        <w:t xml:space="preserve">Згідно з протоколом 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uk-UA" w:eastAsia="zh-CN" w:bidi="ar-SA"/>
        </w:rPr>
        <w:t xml:space="preserve"> №1 від 16.09.2024 засідання команди психолого-педагогічної супроводу з питань організації інклюзивного навчання Козацького ліцею НКМР, відповідно до рекомендацій фахівців ІРЦ, 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uk-UA" w:eastAsia="zh-CN" w:bidi="ar-SA"/>
        </w:rPr>
        <w:t xml:space="preserve">було здійснено 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uk-UA" w:eastAsia="zh-CN" w:bidi="ar-SA"/>
        </w:rPr>
        <w:t xml:space="preserve">розподіл корекційно-розвиткових занять. </w:t>
      </w:r>
      <w:r>
        <w:rPr>
          <w:rFonts w:eastAsia="Liberation Serif;Times New Roman" w:cs="Times New Roman" w:ascii="Times New Roman" w:hAnsi="Times New Roman"/>
          <w:i w:val="false"/>
          <w:iCs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uk-UA" w:eastAsia="zh-CN" w:bidi="ar-SA"/>
        </w:rPr>
        <w:t xml:space="preserve">Корекційно-розвиткові заняття проводилися з жовтня по березень фахівцями Козацького ліцею та залученими фахівцями ІРЦ (складено відповідні договори про надання послуг та акти проведених робіт). У квітні-травні 2025 року через відсутність фінансування корекційно-розвиткові послуги дітям з ООП надавалися фахівцями ІРЦ.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uk-UA" w:eastAsia="zh-CN" w:bidi="ar-SA"/>
        </w:rPr>
        <w:tab/>
        <w:t>Для оцінювання результатів навчальних досягнень учнів, які мають особливості розвитку, вчителі  Козацького ліцею використову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uk-UA" w:eastAsia="zh-CN" w:bidi="ar-SA"/>
        </w:rPr>
        <w:t>вали</w:t>
      </w:r>
      <w:r>
        <w:rPr>
          <w:rFonts w:eastAsia="SimSun" w:cs="Times New Roman" w:ascii="Times New Roman" w:hAnsi="Times New Roman"/>
          <w:i w:val="false"/>
          <w:iCs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uk-UA" w:eastAsia="zh-CN" w:bidi="ar-SA"/>
        </w:rPr>
        <w:t xml:space="preserve"> формувальне оцінювання, яке дає можливість узагальнити та інтерпретувати інформацію про індивідуальні потреби чи досягнення учнів і завдяки цьому поліпшити процес навчання, метод самооцінювання учнів, який допомагає вчителям  простежити освітні результати, знайти причину труднощів і зрозуміти, що необхідно зробити, аби поліпшити результат. Проведення поточного та підсумкового оцінювання навчальних досягнень учнів із ООП  здійснюється в залежності від рівня підтримки в освітньому процесі, тому учні з ООП  ІІ та ІІІ рівня підтримки (учні 5, 7 класу) оцінюються на  основі загальних критеріїв оцінювання, але  з урахуванням   особливих освітніх потреб учня ( збільшення часу на виконання завдань); для учнів з ООП ІV та V  рівня підтримки (учні 5, 8 класу) оцінюються  на основі загальних критеріїв оцінювання з урахуванням ІПР , але з урахуванням особливих освітніх потреб учня (використання засобів альтернативної комунікації під час формування завдань; адаптація/модифікація завдань з урахуванням способу їх сприйняття учнем;  збільшення часу на процедуру оцінювання тощо; відповідність тестів змісту модифікованої програми навчального предмета). Оцінювання учня 7 класу, який перебуває на індивідуальній формі навчання, проводиться за чотирма рівнями: початковий, середній, достатній та високий, але з урахуванням обсягу та характеру матеріалу, визначеного ІПР. Оцінювання  здійснюється відповідно до рекомендацій, які  розроблені Міністерством освіти і науки України та Українським інститутом розвитку освіти (Методичні рекомендації щодо оцінювання учнів з ООП, включаючи дітей з інтелектуальними порушеннями, розроблені Міністерством освіти і науки України та Українським інститутом розвитку освіти).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2.5. Результати навчальних досягнень здобувачів освіти.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Моніторинг навчальних досягнень учнів 3-4 класів та 5-11 класів з основних предметів за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навчальний рік висвітлено в діаграмі.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/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9450" cy="3239770"/>
            <wp:effectExtent l="0" t="0" r="0" b="0"/>
            <wp:wrapSquare wrapText="largest"/>
            <wp:docPr id="1" name="Об'є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anchor>
        </w:drawing>
        <w:tab/>
        <w:t>За результатами річного оцінювання 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учнів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5-10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класів нагороджені Похвальними листами.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ab/>
        <w:t xml:space="preserve">Троє здобувачів освіти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9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класу одержали свідоцтво про здобуття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базової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 середньої освіти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з відзнакою.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2.6. Соціальний паспорт закладу.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Характеристика контингенту  здобувачів освіти: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діти-сироти – 0,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діти, позбавлені батьківського піклування — 0,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діти з </w:t>
      </w:r>
      <w:r>
        <w:rPr>
          <w:rFonts w:ascii="Times New Roman" w:hAnsi="Times New Roman"/>
          <w:color w:val="000000"/>
          <w:sz w:val="24"/>
          <w:szCs w:val="24"/>
        </w:rPr>
        <w:t>інвалідністю</w:t>
      </w:r>
      <w:r>
        <w:rPr>
          <w:rFonts w:ascii="Times New Roman" w:hAnsi="Times New Roman"/>
          <w:color w:val="000000"/>
          <w:sz w:val="24"/>
          <w:szCs w:val="24"/>
        </w:rPr>
        <w:t xml:space="preserve"> – 6 осіб,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діти з багатодітних сімей – 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Times New Roman" w:hAnsi="Times New Roman"/>
          <w:color w:val="000000"/>
          <w:sz w:val="24"/>
          <w:szCs w:val="24"/>
        </w:rPr>
        <w:t xml:space="preserve"> осіб,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здобувачі освіти, які мають статус дитини, яка постраждала внаслідок воєнних дій та збройних конфліктів,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діти, батьки яких отримують допомогу, як малозабезпечена сім’я – </w:t>
      </w:r>
      <w:r>
        <w:rPr>
          <w:rFonts w:ascii="Times New Roman" w:hAnsi="Times New Roman"/>
          <w:color w:val="000000"/>
          <w:sz w:val="24"/>
          <w:szCs w:val="24"/>
        </w:rPr>
        <w:t>1 особа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szCs w:val="24"/>
          <w:lang w:val="uk-UA"/>
        </w:rPr>
        <w:t>діти внутрішньо переміщен</w:t>
      </w:r>
      <w:r>
        <w:rPr>
          <w:rFonts w:eastAsia="Times New Roman" w:ascii="Times New Roman" w:hAnsi="Times New Roman"/>
          <w:color w:val="000000"/>
          <w:sz w:val="24"/>
          <w:szCs w:val="24"/>
          <w:lang w:val="uk-UA"/>
        </w:rPr>
        <w:t>і</w:t>
      </w:r>
      <w:r>
        <w:rPr>
          <w:rFonts w:eastAsia="Times New Roman" w:ascii="Times New Roman" w:hAnsi="Times New Roman"/>
          <w:color w:val="000000"/>
          <w:sz w:val="24"/>
          <w:szCs w:val="24"/>
          <w:lang w:val="uk-UA"/>
        </w:rPr>
        <w:t xml:space="preserve"> ос</w:t>
      </w:r>
      <w:r>
        <w:rPr>
          <w:rFonts w:eastAsia="Times New Roman" w:ascii="Times New Roman" w:hAnsi="Times New Roman"/>
          <w:color w:val="000000"/>
          <w:sz w:val="24"/>
          <w:szCs w:val="24"/>
          <w:lang w:val="uk-UA"/>
        </w:rPr>
        <w:t>о</w:t>
      </w:r>
      <w:r>
        <w:rPr>
          <w:rFonts w:eastAsia="Times New Roman" w:ascii="Times New Roman" w:hAnsi="Times New Roman"/>
          <w:color w:val="000000"/>
          <w:sz w:val="24"/>
          <w:szCs w:val="24"/>
          <w:lang w:val="uk-UA"/>
        </w:rPr>
        <w:t>б</w:t>
      </w:r>
      <w:r>
        <w:rPr>
          <w:rFonts w:eastAsia="Times New Roman" w:ascii="Times New Roman" w:hAnsi="Times New Roman"/>
          <w:color w:val="000000"/>
          <w:sz w:val="24"/>
          <w:szCs w:val="24"/>
          <w:lang w:val="uk-UA"/>
        </w:rPr>
        <w:t>и</w:t>
      </w:r>
      <w:r>
        <w:rPr>
          <w:rFonts w:eastAsia="Times New Roman" w:ascii="Times New Roman" w:hAnsi="Times New Roman"/>
          <w:color w:val="000000"/>
          <w:sz w:val="24"/>
          <w:szCs w:val="24"/>
          <w:lang w:val="uk-UA"/>
        </w:rPr>
        <w:t xml:space="preserve"> – </w:t>
      </w:r>
      <w:r>
        <w:rPr>
          <w:rFonts w:eastAsia="Times New Roman" w:ascii="Times New Roman" w:hAnsi="Times New Roman"/>
          <w:color w:val="000000"/>
          <w:sz w:val="24"/>
          <w:szCs w:val="24"/>
          <w:lang w:val="uk-UA"/>
        </w:rPr>
        <w:t>54</w:t>
      </w:r>
      <w:r>
        <w:rPr>
          <w:rFonts w:eastAsia="Times New Roman" w:ascii="Times New Roman" w:hAnsi="Times New Roman"/>
          <w:color w:val="000000"/>
          <w:sz w:val="24"/>
          <w:szCs w:val="24"/>
          <w:lang w:val="uk-UA"/>
        </w:rPr>
        <w:t xml:space="preserve"> осіб.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uk-UA"/>
        </w:rPr>
        <w:t>- діти осіб, визнаних учасниками бойових дій – 2 осіб,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діти, які  постраждали від аварії на ЧАЕС – </w:t>
      </w:r>
      <w:r>
        <w:rPr>
          <w:rFonts w:ascii="Times New Roman" w:hAnsi="Times New Roman"/>
          <w:color w:val="000000"/>
          <w:sz w:val="24"/>
          <w:szCs w:val="24"/>
        </w:rPr>
        <w:t>0,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діти, які перебувають у складних життєвих обставинах — 14 осіб,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діти з особливими освітніми потребами —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ос</w:t>
      </w:r>
      <w:r>
        <w:rPr>
          <w:rFonts w:ascii="Times New Roman" w:hAnsi="Times New Roman"/>
          <w:color w:val="000000"/>
          <w:sz w:val="24"/>
          <w:szCs w:val="24"/>
        </w:rPr>
        <w:t>іб.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Кадрове забезпечення закладу освіти.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3.1. Аналіз освітньо-кваліфікаційного рівня педагогічних працівників.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У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/202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навчальн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ому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оці 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еалізацію освітнього процесу здійснювали 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педагоги, з них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сумісник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ів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.  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педагогічних працівників мають повну вищу освіту,  2 —  неповну вищу.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Освітньо-кваліфікаційний рівень педагогів: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“спеціаліст вищої кваліфікаційної категорії” —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педагогів;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“спеціаліст першої кваліфікаційної категорії” — 7 педагогів;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“спеціаліст другої кваліфікаційної категорії” —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педагоги;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“спеціаліст” —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педагогів.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Педагогічні звання: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“старший учитель” —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</w:t>
      </w:r>
      <w:r>
        <w:rPr>
          <w:rFonts w:ascii="Times New Roman" w:hAnsi="Times New Roman"/>
          <w:color w:val="000000"/>
          <w:sz w:val="24"/>
          <w:szCs w:val="24"/>
        </w:rPr>
        <w:t>ів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3.2. Підвищення кваліфікації педагогічних працівників.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ab/>
        <w:t>План курсової підготовки на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/202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навчальний рік виконано на 100%. Усі 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педагогічні працівники пройшли підвищення кваліфікації різних форм, напрямів та змісту. Це курси при КВНЗ “Херсонська академія неперервної освіти” Херсонської обласної ради,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також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популярні серед педагогів форми підвищення кваліфікації: вебінари, майстер-класи, конференції, онлайн-курс від пла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форм “На урок”, “Всеосвіта”,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Prometeus, EdEra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, самоосвіта.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3.3. Результати атестації педагогічних працівників.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Упродовж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навчального року на базі Козацької ліцею працювала атестаційна комісія І рівня. Атестувалися у 202</w:t>
      </w:r>
      <w:r>
        <w:rPr>
          <w:rFonts w:ascii="Times New Roman" w:hAnsi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/>
          <w:color w:val="000000"/>
          <w:sz w:val="24"/>
          <w:szCs w:val="24"/>
        </w:rPr>
        <w:t xml:space="preserve">році у черговому порядку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педагогів. За результатами атестації  усі 5 педагогічних працівників відповідають займаним посадам. 2 педагогічним працівникам підтверджено раніше присвоєн</w:t>
      </w:r>
      <w:r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кваліфікаційн</w:t>
      </w:r>
      <w:r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категорі</w:t>
      </w:r>
      <w:r>
        <w:rPr>
          <w:rFonts w:ascii="Times New Roman" w:hAnsi="Times New Roman"/>
          <w:color w:val="000000"/>
          <w:sz w:val="24"/>
          <w:szCs w:val="24"/>
        </w:rPr>
        <w:t>ї</w:t>
      </w:r>
      <w:r>
        <w:rPr>
          <w:rFonts w:ascii="Times New Roman" w:hAnsi="Times New Roman"/>
          <w:color w:val="000000"/>
          <w:sz w:val="24"/>
          <w:szCs w:val="24"/>
        </w:rPr>
        <w:t xml:space="preserve"> «спеціаліст першої категорії» </w:t>
      </w:r>
      <w:r>
        <w:rPr>
          <w:rFonts w:ascii="Times New Roman" w:hAnsi="Times New Roman"/>
          <w:color w:val="000000"/>
          <w:sz w:val="24"/>
          <w:szCs w:val="24"/>
        </w:rPr>
        <w:t>та “спеціаліст”</w:t>
      </w:r>
      <w:r>
        <w:rPr>
          <w:rFonts w:ascii="Times New Roman" w:hAnsi="Times New Roman"/>
          <w:color w:val="000000"/>
          <w:sz w:val="24"/>
          <w:szCs w:val="24"/>
        </w:rPr>
        <w:t>; 1 педагогічному працівнику присвоєно кваліфікаційн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категорі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«спеціаліст першої категорії»;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педагогічн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 xml:space="preserve"> працівник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 xml:space="preserve"> присвоєно кваліфікаційну категорію «спеціаліст другої категорії».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Ефективність методичної роботи.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ab/>
        <w:t>У 202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>/202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 навчальному році методична робота з педагогічними працівниками закладу здійснювалася відповідно до Законів України «Про освіту», «Про повну загальну середню освіту»,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наказом 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>ліцею від 1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>.09.202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№1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54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«Про організацію методичної роботи з педагогічними працівниками ліцею в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/202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навчальному році»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, а також відповідно до структурної моделі методичної роботи з педагогічними працівниками закладу.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З метою виконання завдань розвитку освіти, підвищення якості освітнього процесу, створення умов для безперервної освіти й розвитку професійної компетентності й інтелектуальної культури педагогічних працівників ліцею у закладі методичну роботу було спрямовано на виконання таких пріоритетних завдань:</w:t>
      </w:r>
    </w:p>
    <w:p>
      <w:pPr>
        <w:pStyle w:val="Style16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методичне забезпечення освітнього процесу в умовах дистанційного навчання;</w:t>
      </w:r>
    </w:p>
    <w:p>
      <w:pPr>
        <w:pStyle w:val="Style16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підготовка педагогічних працівників до викладання у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класі за програмою «Нової української школи»;</w:t>
      </w:r>
    </w:p>
    <w:p>
      <w:pPr>
        <w:pStyle w:val="Style16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вивчення, узагальнення та впровадження в педагогічну практику досвіду використання інноваційних технологій і сучасних форм організації освітнього процесу.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Основними завданнями методичної роботи з педагогічним колективом були реалізація особистісно орієнтованого, компетентнісного та діяльнісного підходів до організації освітнього процесу з використанням інноваційних та інформаційних технологій навчання; підвищення фахової майстерності вчителів; виявлення, підтримка та супровід обдарованих здобувачів освіти.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Виконання основних завдань відбувалося через мережу колективних та індивідуальних форм методичної роботи: творча група вчителів; предметні тижні, творчий звіт; фестиваль педагогічних ідей; тренінгове заняття; майстер-клас;  інструктивно-методичні наради; самоосвіта педагогів, консультації, взаємовідвідування уроків.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З метою цілеспрямованої роботи над підвищенням фахової майстерності педагогів закладу діяла методична рада, основними завданнями якої були координація творчої групи вчителів; розробка основних напрямів методичної роботи; розробка навчальних і дидактичних матеріалів; організація  інноваційної діяльності в закладі, спрямованої на освоєння сучасних організаційних форм, методів і прийомів навчання й виховання, нових педагогічних технологій; організація консультацій для педагогів закладу щодо проблем удосконалення професійної майстерності, методики проведення різних видів занять і їх навчально-методичного й матеріально-технічного забезпечення; розробка заходів щодо вивчення, узагальнення й поширення перспективного педагогічного досвіду вчителів; участь в атестації педагогічних працівників.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ab/>
        <w:t>Упродовж навчального року проведено чотири планових засідання педагогічної ради, на яких розглядалися наступні питання: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подолання освітніх втрат;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ефективні інструменти організації дистанційного навчання; інклюзивне навчання у дистанційному режимі: 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>інструменти ШІ для навчання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>; психологічна підтримка учасників освітнього процесу під час війни.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Виховна робота у закладі.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Система виховної роботи закладу заснована на ідеї педагогіки життєтворчості, сприяє становленню і розвитку особистості здобувача освіти, створенню ситуації успіху та самореалізації дитини. У закладі створено громадсько-освітній простір виховання дітей: виховання в атмосфері добра і творчості, взаємодопомоги і взаємоповаги, що дає суспільству модель ціннісних відносин.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ab/>
        <w:t>Виховна робота в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/202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навчальному році була направлена на створення сприятливих умов для всебічного розвитку дітей на кожному з вікових етапів, їх адаптації в соціумі, формування демократичного світогляду, ціннісних орієнтирів, засвоєння морально-етичних норм, сприйняття власної індивідуальності, впевненості в собі, на усвідомленому виборі здорового способу життя, на осмислення самовизначення у виборі професії, на пропаганду духовних надбань українського народу, на виховання любові до рідної землі, мови, на формування правової культури, негативного ставлення до протиправних діянь, співпрацю з батьками, громадськими організаціями.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В умовах воєнного часу особливо гостро стоїть питання національно-патріотичного виховання дітей. Упродовж навчального року в ліцеї проведено комплекс заходів: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- Виготовлення патріотичних вітальних листівок «Листівка Воїну-визволителю» до Дня захисників і захисниць;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Відеопривітання до Дня Захисників і Захисниць (сторінка ліцею у Фейсбук) «Слава і шана вам, Захисники!”;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вшанування хвилиною мовчання пам'ять загиблих односельці «Хвилина пам’яті»;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 Дня річниці визволення правобережної Херсонщини від російських окупантів перегляд відеороликів про загиблих односельців «Герої не вмирають!” та декламування віршів односельчанки Оксани Колісніченко «Вірші, народжені війною»;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перегляд освітніх відео до Дня Гідності та Свободи "Вистояли на Майдані - переможемо у війні" та інтерактивна гра для учнів початкової школи "Гідні вчинки";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до Дня пам'яті жертв Голодоморів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години спілкування “Ми пам'ятаємо...", перегляд відео "Голодний дух", флеш-довідки про голодомор 1932-1932 років; загальнонаціональної хвилин мовчання та акції "Запали свічку пам'яті..."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Година спілкування для учнів 2-11 класів «Україна – єдина країна»  (до  дня Соборності України);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Перегляд освітніх відео з учнями 7-11 класів на тему «Трагедія Крут: крізь призму минулого і сучасного»;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Година спілкування для учнів 2-11 класів «Україна – країна нескорених» (день пам’яті Небесної сотні);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Година спілкування до річниці повномасштабного вторгнення РФ в Україну. Конкурс віршів патріотичного спрямування (2-11 класи);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Конкурс есе «У мові моїй краса і неповторність» (до Міжнародного дня рідної мови);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Година спілкування «Ти син України, ти дух її вічно живий» (Шевченківські дні у ліцеї);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«Допоки пам’ятаємо – живемо» (заходи до Дня пам’яті та примирення);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Конкурс декламаторів  до Дня Матері;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Години спілкування до Дня Європи;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Заходи до Дня  вишиванки (флеш-моб онлайн);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 Дня Героїв для учнів 2-4 класів проведено години спілкування для  учнів 5-8 класів проведено годину спілкування “Українські Герої різних епох”; для учнів 9-11 класів проведено годину спілкування “Українські Герої на захисті суверенітету України”. Вшановано хвилиною мовчання загиблих у боях проти російських окупантів односельчан Штремпела Йосипа та Самарського Сергія;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Заходи до Дня Конституції України: 1-4 класи: перегляд освітнього відео «Просто і зрозуміло про Конституцію України»; 5-8 класи: перегляд освітнього відео «День Конституції — державне свято України»; 9-11 класи: перегляд освітнього відео «Як усе було: історія українського конституціоналізму».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uk-UA"/>
        </w:rPr>
        <w:t>Важливу роль надавали педагоги виконанню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/>
        </w:rPr>
        <w:t xml:space="preserve"> заходів з реалізації Програми розвитку та функціонування української мови як державної на 202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/>
        </w:rPr>
        <w:t>4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/>
        </w:rPr>
        <w:t>/2025 роки у сфері освіти. З метою зміцнення державного статусу української мови, вироблення дієвого механізму її захисту, розвитку та популяризації проведено круглий стіл з педагогічним працівниками ліцею на тему “Функціонування української мови як державної у сфері освіти”, літературне свято до Дня української писемності та мови” для учнів 7-11 класів. З метою мотивування населення області до вивчення, навчання та спілкування українською мовою, запровадження та реалізації відповідних проєктів класними керівникам та вчителями української мови проведено години спілкування на тему “Українська — мова перемоги!” для учнів 5-11 класів, мовні вікторини для учнів 1-4 класів на тему “Єдиний скарб у тебе — рідна мова!”.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/>
        </w:rPr>
        <w:tab/>
        <w:t>До пам'ятних та ювілейних дат класними керівникам проводилися години спілкування із використанням навчально-популярних відео, проведенням вікторин: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година спілкування до Дня Захисників і Захисниць України;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година спілкування до Дня Гідності та Свободи;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година спілкування до Дня пам'яті жертв Голодомору 1932-1933 років;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година спілкування до Дня пам'яті Героїв Крут;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година спілкування до дня Соборності України”;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година спілкування “День Героїв Небесної Сотні”;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години спілкування, конкурс декламаторів та вікторини до річниці з дня народження Тараса Шевченка; створення відеороликів про Кобзаря;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година спілкування “Дзвони Чорнобиля”;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майстер-клас “Виготовлення пасхального кошика”;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година спілкування “День пам'яті і примирення”.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/>
        </w:rPr>
        <w:tab/>
        <w:t xml:space="preserve">В умовах дистанційного навчання особливої ролі набуває фізкультурно-оздоровча робота з учнями. Класними керівниками у співпраці з учителем фізичної культури проведено Олімпійський урок, Тиждень фізичної культури і спорту, турніри 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uk-UA" w:eastAsia="en-US" w:bidi="ar-SA"/>
        </w:rPr>
        <w:t xml:space="preserve"> з онлайн-шашок серед здобувачів  освіти 5-9 класів, фізкультурно-оздоровчий онлайн-захід до Дня Збройних Сил України.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4"/>
          <w:szCs w:val="24"/>
          <w:lang w:val="uk-UA"/>
        </w:rPr>
        <w:t>6.  Робота психологічної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4"/>
          <w:szCs w:val="24"/>
          <w:lang w:val="uk-UA"/>
        </w:rPr>
        <w:t>служби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4"/>
          <w:lang w:val="uk-UA"/>
        </w:rPr>
        <w:t>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Робота психологічної служби ліцею здійснювалась у наступних напрямках: діагностика, профілактика, у тому числі розвиток соціальних навичок, навчальна діяльність, консультування, зв'язки з громадськістю, просвіта, організаційно-методична та соціально-захисна функції.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" w:ascii="Times New Roman" w:hAnsi="Times New Roman" w:cstheme="majorBidi"/>
          <w:i w:val="false"/>
          <w:iCs w:val="false"/>
          <w:color w:val="000000"/>
          <w:sz w:val="24"/>
          <w:szCs w:val="24"/>
          <w:lang w:val="uk-UA"/>
        </w:rPr>
        <w:tab/>
        <w:t xml:space="preserve">На початку навчального року соціальним педагогом було оформлено соціальні паспорти класів, а на їх основі складено соціальний паспорт ліцею.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uk-UA"/>
        </w:rPr>
        <w:t xml:space="preserve">Практичним психологом була проведена наступна психодіагностична робота: діагностика готовності до навчання здобувачів освіти з боку пізнавальної сфери, емоційно-вольової (за потребою); проводився моніторинг адаптації здобувачів освіти 1-х, 5-х, 10 класів до навчання, визначено особистісну адаптацію школярів; психологічне обстеження здобувачів освіти 4 класу з метою визначення їхнього інтелектуального та особистісного розвитку;  моніторинг дітей з ООП з метою визначення актуальності ІПР.  Також протягом року проводилась діагностика в рамках програми протидії проявам ксенофобії, расової та етнічної дискримінації, булінгу. Для учнів 7-9 і 11 класів проведена діагностика допрофільної  та професійної спрямованості.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Враховуючи результати досліджень, були проведені відповідні психолого-педагогічні заходи: тренінгові заняття; зіндивідуальна корекційно-відновлювальна робота; консультації з батьками та педагогами, надання відповідних рекомендацій;  відповідна профорієнтаційна робота.</w:t>
      </w:r>
    </w:p>
    <w:p>
      <w:pPr>
        <w:pStyle w:val="Style16"/>
        <w:spacing w:lineRule="auto" w:line="276" w:before="0" w:after="0"/>
        <w:jc w:val="both"/>
        <w:rPr/>
      </w:pPr>
      <w:r>
        <w:rPr>
          <w:rFonts w:cs="" w:ascii="Times New Roman" w:hAnsi="Times New Roman" w:cstheme="majorBidi"/>
          <w:i w:val="false"/>
          <w:iCs w:val="false"/>
          <w:color w:val="000000"/>
          <w:sz w:val="24"/>
          <w:szCs w:val="24"/>
          <w:lang w:val="uk-UA"/>
        </w:rPr>
        <w:tab/>
        <w:t xml:space="preserve">Консультаційна робота включала в себе консультації педагогічних працівників, здобувачів освіти та батьків. Проводились також консультації батьків та педагогічного колективу з проблемних питань, які їх цікавили. </w:t>
      </w:r>
      <w:r>
        <w:rPr>
          <w:rStyle w:val="Fontstyle21"/>
          <w:rFonts w:cs="" w:ascii="Times New Roman" w:hAnsi="Times New Roman" w:cstheme="majorBidi"/>
          <w:i w:val="false"/>
          <w:iCs w:val="false"/>
          <w:color w:val="000000"/>
          <w:sz w:val="24"/>
          <w:szCs w:val="24"/>
          <w:lang w:val="uk-UA"/>
        </w:rPr>
        <w:t>Протягом року проводились заходи, спрямовані на зниження рівня тривожності, подолання посттравматичного синдрому, проведено консультації, просвітницькі та профілактичні заходи, діагностичну роботу для дітей і  батьків.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" w:ascii="Times New Roman" w:hAnsi="Times New Roman" w:cstheme="majorBidi"/>
          <w:i w:val="false"/>
          <w:iCs w:val="false"/>
          <w:color w:val="000000"/>
          <w:sz w:val="24"/>
          <w:szCs w:val="24"/>
          <w:lang w:val="uk-UA"/>
        </w:rPr>
        <w:tab/>
        <w:t xml:space="preserve">Проводилася профілактичної роботи із протидії торгівлі людьми (тренінгове заняття «Торгівля людьми», перегляд відео «Твої правила безпеки» щодо торгівлі людьми для учнів 9-11 класів). Здійснювалася профілактична роботи щодо зниження рівня тютюнопаління, вживання алкоголю та наркотичних речовин підлітками, запобігання розповсюдження ВІЛ/СНІДу для 5-8 класів та  9-11класів. Заходи з попередження домашнього насильства (інформаційне повідомлення «Домашнє насильство. Як запобігти» та «16 днів проти насильства» для здобувачів освіти 5-11 класів, педагогів та батьків, розповсюдження телефонів гарячих ліній). Проводилася робота над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val="uk-UA"/>
        </w:rPr>
        <w:t xml:space="preserve">зменшенням рівня негативного впливу Інтернету на психічне, емоційне і фізичне здоров’я дитини, було проведено просвітницькі заходи для здобувачів освіти «Правила онлайн безпеки для підлітків» та для батьків учнів «Безпека дітей в інтернеті», «Щоб навчатись дистанційно було легко та безпечно».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Практичний психолог надавала особистісне консультування, необхідність в якому періодично виникала у здобувачів освіти ліцею з таких питань, які глибоко зачіпають людину як особистість, викликають в неї сильні переживання, які, звичайно, приховуються від сторонніх.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Зі здобувачами освіти молодших класів проводилась індивідуальна корекція пізнавальних процесів (пам'яті, уваги, мислення), корекційна робота з дітьми, які мають особливості розвитку емоційно-вольової, поведінкової та мотиваційної сфер. 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Проводилась просвітницька робота з педагогами за наступними напрямками: психолого-педагогічний супровід дітей з ООП (за нозологіями); психолого-педагогічний супровід дітей, що постраждали від війни.</w:t>
      </w:r>
    </w:p>
    <w:p>
      <w:pPr>
        <w:pStyle w:val="Style16"/>
        <w:spacing w:lineRule="auto" w:line="276" w:before="0" w:after="0"/>
        <w:jc w:val="both"/>
        <w:rPr/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uk-UA"/>
        </w:rPr>
        <w:tab/>
        <w:t>Тематика просвітницьких заходів: «Вплив зайнятості на зниження рівня тривоги й емоційного стану», «Як не піддатися загальній паніці», «Вплив засобів масової інформації на психіку дітей», «Поради щодо зберігання спокою», «Перебування в соцмережах під час війни: фейки та перевірка фактів», «Як не перетворити дім на пастку для батьків та дітей – корисні поради», «Рекомендації для учасників освітнього процесу щодо дій під час повітряної тривоги», «Як важливо навчитися опановувати себе та керувати своїми емоціями»; індивідуальне</w:t>
      </w:r>
      <w:r>
        <w:rPr>
          <w:rStyle w:val="Style13"/>
          <w:rFonts w:ascii="Times New Roman" w:hAnsi="Times New Roman"/>
          <w:i w:val="false"/>
          <w:iCs w:val="false"/>
          <w:color w:val="000000"/>
          <w:sz w:val="24"/>
          <w:szCs w:val="24"/>
          <w:lang w:val="uk-UA"/>
        </w:rPr>
        <w:t xml:space="preserve"> консультування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uk-UA"/>
        </w:rPr>
        <w:t>, рідше групове (в Skype режимі, телефонному режимі та ін.); надання рекомендацій щодо самостійного застосування батьками методики зниження рівня тривожності дітей, вправи з психогімнастики, кінезіології, рухливі, розвивальні ігри тощо.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Безпека життєдіяльності здобувачів освіти.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У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навчальному році у ліцеї з метою забезпечення безпеки життєдіяльності та запобігання дитячому травматизму зі здобувачами освіти вчасно проводили інструктажі: вступний – на початку навчального року; первинний – перед початком занять з кожного предмета, цільовий – перед канікулами та після них.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Щоразу перед канікулами класні керівники проводили уроки з безпеки життєдіяльності школярів, під час яких учні розробляли пам’ятки безпеки життєдіяльності. Кожен учитель-предметник проводив інструктаж з безпеки життєдіяльності перед виконанням завдання лабораторної або практичної роботи, зміною видів діяльності на уроках трудового навчання, фізичної культури.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ab/>
        <w:t>Класні керівники 1-11 класів систематично проводили профілактичні бесіди з безпеки життєдіяльності та щодо запобігання дитячому травматизму. Упродовж вересня проведено місячник безпеки дорожнього руху “Увага! Діти на дорозі”, тиждень безпеки дорожнього руху; годину спілкування “Безпека дорожнього руху”.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Особливої уваги класні керівники приділяли таких темам: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дії у разі оголошення про загрозу виникнення надзвичайної ситуації, у тому числі сигналу «Повітряна тривога»,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дотримання правил пожежної безпеки;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поводження в громадських місцях з незнайомими людьми та підозрілими предметами;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порядок надання домедичної допомоги постраждалим внаслідок нещасних випадків;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дії у разі виявлення предмета, схожого на вибуховий пристрій;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дії за сигналом "Увага всім!" та "Повітряна тривога!";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дотримання правил безпечної поведінки з легкозаймистими та токсичними речовинами, вибухонебезпечними предметами;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 заборону і ризики відвідування лісових масивів та територій, які можуть бути замінованими або наближені до районів бойових дій;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мінна безпека;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кібербезпека;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безпека в інтернеті;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«Безпека на дорогах в умовах воєнного стану».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uk-UA"/>
        </w:rPr>
        <w:t>8. Матеріально-технічне забезпечення.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8.1. Технічне забезпечення освітнього процесу.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Упродовж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років відділ освіти 100-відсотково забезпечив потреби </w:t>
      </w:r>
      <w:r>
        <w:rPr>
          <w:rFonts w:ascii="Times New Roman" w:hAnsi="Times New Roman"/>
          <w:color w:val="000000"/>
          <w:sz w:val="24"/>
          <w:szCs w:val="24"/>
        </w:rPr>
        <w:t xml:space="preserve">педагогів та </w:t>
      </w:r>
      <w:r>
        <w:rPr>
          <w:rFonts w:ascii="Times New Roman" w:hAnsi="Times New Roman"/>
          <w:color w:val="000000"/>
          <w:sz w:val="24"/>
          <w:szCs w:val="24"/>
        </w:rPr>
        <w:t>учнів ліцею в гаджетах для навчання: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- 14 ноутбуків з сумкою та аксесуарами (мишка та навушники);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- 5 ноутбуків з ліцензіями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Chrome Education Upgrade;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25 ноутбуків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Laptop HP 245 G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9;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- 28 хромбуків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Leptop Lenovo 100e.</w:t>
      </w:r>
    </w:p>
    <w:p>
      <w:pPr>
        <w:pStyle w:val="Style16"/>
        <w:spacing w:lineRule="auto" w:line="276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ВИСНОВКИ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Проаналізувавши всі процеси, які відбувалися у закладі в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навчальному році, варто  відзначити,  що  незважаючи на те, що проведена значна робота щодо створення комфортних умов для надання якісної освіти, залишаються без уваги певні проблемні питання. Дослідження змісту  й організації освітнього процесу свідчить, що більш детального вирішення потребують такі проблемні питання:</w:t>
      </w:r>
    </w:p>
    <w:p>
      <w:pPr>
        <w:pStyle w:val="Style16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якісне використання педагогами мотиваційних аспектів навчання: ситуації успіху, рефлексивної діяльності, інтерактивних методів навчання; й виховання;</w:t>
      </w:r>
    </w:p>
    <w:p>
      <w:pPr>
        <w:pStyle w:val="Style16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належне забезпечення особистісно орієнтованого, компетентнісного підходів до навчання під час подолання освітніх втрат;</w:t>
      </w:r>
    </w:p>
    <w:p>
      <w:pPr>
        <w:pStyle w:val="Style16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впровадження індивідуалізації і диференціації  навчання;</w:t>
      </w:r>
    </w:p>
    <w:p>
      <w:pPr>
        <w:pStyle w:val="Style16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використання перспективного педагогічного досвіду в практичній роботі вчителів.</w:t>
      </w:r>
    </w:p>
    <w:p>
      <w:pPr>
        <w:pStyle w:val="11"/>
        <w:spacing w:lineRule="auto" w:line="276"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11"/>
        <w:spacing w:lineRule="auto" w:line="276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11"/>
        <w:spacing w:lineRule="auto" w:line="276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/>
        </w:rPr>
        <w:t xml:space="preserve">МЕТА, ОСНОВНІ НАПРЯМКИ РОБОТИ ТА ЗАВДАННЯ ЗАКЛАДУ </w:t>
      </w:r>
    </w:p>
    <w:p>
      <w:pPr>
        <w:pStyle w:val="11"/>
        <w:spacing w:lineRule="auto" w:line="276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/>
        </w:rPr>
        <w:t>НА 202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/>
        </w:rPr>
        <w:t>5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/>
        </w:rPr>
        <w:t>/202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/>
        </w:rPr>
        <w:t>6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uk-UA"/>
        </w:rPr>
        <w:t xml:space="preserve"> НАВЧАЛЬНИЙ РІК </w:t>
      </w:r>
    </w:p>
    <w:p>
      <w:pPr>
        <w:pStyle w:val="11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ab/>
      </w:r>
    </w:p>
    <w:p>
      <w:pPr>
        <w:pStyle w:val="11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ab/>
        <w:t>Головна мета закладу в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/202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навчальному році – формування і розвиток соціально-зрілої компетентної особистості з усвідомленою громадянською позицією, почуттям національної самосвідомості, здатної до самовизначення і самореалізації.</w:t>
      </w:r>
    </w:p>
    <w:p>
      <w:pPr>
        <w:pStyle w:val="11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ab/>
        <w:t>Завдання закладу на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5/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 xml:space="preserve"> навчальний рік:</w:t>
      </w:r>
    </w:p>
    <w:p>
      <w:pPr>
        <w:pStyle w:val="11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uk-UA"/>
        </w:rPr>
        <w:t>Навчальні завдання:</w:t>
      </w:r>
    </w:p>
    <w:p>
      <w:pPr>
        <w:pStyle w:val="11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Ефективне впровадження вимог  нових Державних стандартів в освітній процес, реалізація концепції Нової української школи, надання якісних освітніх послуг шляхом ефективної реалізації компетентнісного, діяльнісного та особистісного підходів у навчанні, належна робота щодо подолання освітніх втрат.</w:t>
      </w:r>
    </w:p>
    <w:p>
      <w:pPr>
        <w:pStyle w:val="11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Вивчення індивідуальних особливостей здобувачів освіти, їхніх інтересів та потреб з метою подальшого проєктування й керування процесом їх особистісного розвитку, професійного самовизначення.</w:t>
      </w:r>
    </w:p>
    <w:p>
      <w:pPr>
        <w:pStyle w:val="11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Створення умов для розвитку та самореалізації здобувачів освіти, пошук та підтримка здібних та обдарованих школярів.</w:t>
      </w:r>
    </w:p>
    <w:p>
      <w:pPr>
        <w:pStyle w:val="11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Створення умов для організації інклюзивного навчання дітей з особливими освітніми потребами у класах з інклюзивним навчанням.</w:t>
      </w:r>
    </w:p>
    <w:p>
      <w:pPr>
        <w:pStyle w:val="11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Створення умов для успішної адаптації учасників освітнього процесу до нових умов життя, подолання посттравматичного синдрому, зниження рівня тривожності, формування навичок безпечного життя.</w:t>
      </w:r>
    </w:p>
    <w:p>
      <w:pPr>
        <w:pStyle w:val="11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uk-UA"/>
        </w:rPr>
        <w:t>Виховна та соціальна робота:</w:t>
      </w:r>
    </w:p>
    <w:p>
      <w:pPr>
        <w:pStyle w:val="11"/>
        <w:numPr>
          <w:ilvl w:val="0"/>
          <w:numId w:val="5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Оновлення змісту освітньої діяльності навчального закладу, форм і методів взаємодії з іншими соціальними інститутами на основі розробленої  структури (моделі) соціалізуючого освітнього простору.</w:t>
      </w:r>
    </w:p>
    <w:p>
      <w:pPr>
        <w:pStyle w:val="11"/>
        <w:numPr>
          <w:ilvl w:val="0"/>
          <w:numId w:val="5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Створення умов для комунікативної, економічної, екологічної, політичної, правової соціалізації учнів та їх національно-патріотичного виховання під час уроків та у позаурочній роботі.</w:t>
      </w:r>
    </w:p>
    <w:p>
      <w:pPr>
        <w:pStyle w:val="11"/>
        <w:numPr>
          <w:ilvl w:val="0"/>
          <w:numId w:val="5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Побудова позакласної виховної роботи на основі проєктно-рольового підходу.</w:t>
      </w:r>
    </w:p>
    <w:p>
      <w:pPr>
        <w:pStyle w:val="11"/>
        <w:numPr>
          <w:ilvl w:val="0"/>
          <w:numId w:val="5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Розвиток волонтерського руху, участю у проєктах регіональних та міжнародних рівнів.</w:t>
      </w:r>
    </w:p>
    <w:p>
      <w:pPr>
        <w:pStyle w:val="11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uk-UA"/>
        </w:rPr>
        <w:t>Методична робота:</w:t>
      </w:r>
    </w:p>
    <w:p>
      <w:pPr>
        <w:pStyle w:val="11"/>
        <w:numPr>
          <w:ilvl w:val="0"/>
          <w:numId w:val="6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Здійснення інноваційної педагогічної діяльності як основи формування креативного навчального середовища для особистісного розвитку здобувача освіти.</w:t>
      </w:r>
    </w:p>
    <w:p>
      <w:pPr>
        <w:pStyle w:val="11"/>
        <w:numPr>
          <w:ilvl w:val="0"/>
          <w:numId w:val="6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Підвищення рівня професіоналізму педагогів через мережу методичних заходів та самоосвітню діяльність.</w:t>
      </w:r>
    </w:p>
    <w:p>
      <w:pPr>
        <w:pStyle w:val="11"/>
        <w:numPr>
          <w:ilvl w:val="0"/>
          <w:numId w:val="6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Підвищення якості освітнього процесу шляхом системного впровадження сучасних педагогічних технологій, зокрема технології критичного мислення, особистісно зорієнтованої технологій навчання, технології соціально-емоційного навчання.</w:t>
      </w:r>
    </w:p>
    <w:p>
      <w:pPr>
        <w:pStyle w:val="11"/>
        <w:numPr>
          <w:ilvl w:val="0"/>
          <w:numId w:val="6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Забезпечення адекватної оцінки особистого внеску кожного працівника у результативність роботи закладу.</w:t>
      </w:r>
    </w:p>
    <w:p>
      <w:pPr>
        <w:pStyle w:val="11"/>
        <w:numPr>
          <w:ilvl w:val="0"/>
          <w:numId w:val="6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Підвищення культури співробітництва педагогів різних поколінь, профілактика професійного вигорання.</w:t>
      </w:r>
    </w:p>
    <w:p>
      <w:pPr>
        <w:pStyle w:val="11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uk-UA"/>
        </w:rPr>
        <w:t>Господарська робота:</w:t>
      </w:r>
    </w:p>
    <w:p>
      <w:pPr>
        <w:pStyle w:val="11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/>
        </w:rPr>
        <w:t>Збереження наявних технічних засобів навчання.</w:t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NewRomanPSMT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5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6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Fontstyle21">
    <w:name w:val="fontstyle21"/>
    <w:basedOn w:val="DefaultParagraphFont"/>
    <w:qFormat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3">
    <w:name w:val="Emphasis"/>
    <w:basedOn w:val="DefaultParagraphFont"/>
    <w:qFormat/>
    <w:rPr>
      <w:i/>
      <w:iCs/>
    </w:rPr>
  </w:style>
  <w:style w:type="character" w:styleId="Style14">
    <w:name w:val="Маркери"/>
    <w:qFormat/>
    <w:rPr>
      <w:rFonts w:ascii="OpenSymbol" w:hAnsi="OpenSymbol" w:eastAsia="OpenSymbol" w:cs="OpenSymbol"/>
    </w:rPr>
  </w:style>
  <w:style w:type="character" w:styleId="Spanrvts0">
    <w:name w:val="span_rvts0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  <w:lang w:eastAsia="zxx" w:bidi="zxx"/>
    </w:rPr>
  </w:style>
  <w:style w:type="paragraph" w:styleId="11">
    <w:name w:val="Обычный1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" w:cs="Calibri" w:asciiTheme="minorHAnsi" w:eastAsiaTheme="minorHAnsi" w:hAnsiTheme="minorHAnsi"/>
      <w:color w:val="auto"/>
      <w:kern w:val="0"/>
      <w:sz w:val="20"/>
      <w:szCs w:val="20"/>
      <w:lang w:val="uk-UA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2">
    <w:name w:val="Абзац списка1"/>
    <w:basedOn w:val="Normal"/>
    <w:qFormat/>
    <w:pPr>
      <w:ind w:left="72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Rvps2">
    <w:name w:val="rvps2"/>
    <w:basedOn w:val="Normal"/>
    <w:qFormat/>
    <w:pPr>
      <w:ind w:firstLine="450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3-4 класи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5-9 класи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11</c:v>
                </c:pt>
                <c:pt idx="1">
                  <c:v>37</c:v>
                </c:pt>
                <c:pt idx="2">
                  <c:v>39</c:v>
                </c:pt>
                <c:pt idx="3">
                  <c:v>18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10-11 класи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0</c:v>
                </c:pt>
                <c:pt idx="1">
                  <c:v>15</c:v>
                </c:pt>
                <c:pt idx="2">
                  <c:v>27</c:v>
                </c:pt>
                <c:pt idx="3">
                  <c:v>2</c:v>
                </c:pt>
              </c:numCache>
            </c:numRef>
          </c:val>
        </c:ser>
        <c:gapWidth val="100"/>
        <c:overlap val="0"/>
        <c:axId val="4472266"/>
        <c:axId val="12753983"/>
      </c:barChart>
      <c:catAx>
        <c:axId val="4472266"/>
        <c:scaling>
          <c:orientation val="minMax"/>
        </c:scaling>
        <c:delete val="0"/>
        <c:axPos val="b"/>
        <c:numFmt formatCode="[$-422]dd/mm/yyyy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12753983"/>
        <c:crosses val="autoZero"/>
        <c:auto val="1"/>
        <c:lblAlgn val="ctr"/>
        <c:lblOffset val="100"/>
        <c:noMultiLvlLbl val="0"/>
      </c:catAx>
      <c:valAx>
        <c:axId val="12753983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4472266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gap"/>
  </c:chart>
  <c:spPr>
    <a:noFill/>
    <a:ln w="0">
      <a:noFill/>
    </a:ln>
  </c:spPr>
</c:chartSpac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1074</TotalTime>
  <Application>LibreOffice/7.4.2.3$Windows_X86_64 LibreOffice_project/382eef1f22670f7f4118c8c2dd222ec7ad009daf</Application>
  <AppVersion>15.0000</AppVersion>
  <Pages>11</Pages>
  <Words>3899</Words>
  <Characters>26846</Characters>
  <CharactersWithSpaces>30761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2025-06-23T22:56:00Z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