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Наявність гуртожитків і вільних місць у них, розмір плати за проживання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color w:val="98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980000"/>
          <w:sz w:val="28"/>
          <w:szCs w:val="28"/>
          <w:rtl w:val="0"/>
        </w:rPr>
        <w:t xml:space="preserve">Гуртожитки відсутні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