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CE" w:rsidRDefault="00E839CE" w:rsidP="00E839CE">
      <w:pPr>
        <w:pStyle w:val="a3"/>
        <w:spacing w:after="0"/>
        <w:jc w:val="center"/>
      </w:pPr>
      <w:r>
        <w:rPr>
          <w:b/>
          <w:bCs/>
          <w:sz w:val="32"/>
          <w:szCs w:val="32"/>
          <w:u w:val="single"/>
        </w:rPr>
        <w:t xml:space="preserve">Порядок </w:t>
      </w:r>
      <w:proofErr w:type="spellStart"/>
      <w:r>
        <w:rPr>
          <w:b/>
          <w:bCs/>
          <w:sz w:val="32"/>
          <w:szCs w:val="32"/>
          <w:u w:val="single"/>
        </w:rPr>
        <w:t>д</w:t>
      </w:r>
      <w:r>
        <w:rPr>
          <w:b/>
          <w:bCs/>
          <w:sz w:val="32"/>
          <w:szCs w:val="32"/>
          <w:u w:val="single"/>
          <w:lang w:val="uk-UA"/>
        </w:rPr>
        <w:t>ій</w:t>
      </w:r>
      <w:proofErr w:type="spellEnd"/>
      <w:r>
        <w:rPr>
          <w:b/>
          <w:bCs/>
          <w:sz w:val="32"/>
          <w:szCs w:val="32"/>
          <w:u w:val="single"/>
          <w:lang w:val="uk-UA"/>
        </w:rPr>
        <w:t xml:space="preserve"> на випадок </w:t>
      </w:r>
      <w:proofErr w:type="spellStart"/>
      <w:proofErr w:type="gramStart"/>
      <w:r>
        <w:rPr>
          <w:b/>
          <w:bCs/>
          <w:sz w:val="32"/>
          <w:szCs w:val="32"/>
          <w:u w:val="single"/>
          <w:lang w:val="uk-UA"/>
        </w:rPr>
        <w:t>бул</w:t>
      </w:r>
      <w:proofErr w:type="gramEnd"/>
      <w:r>
        <w:rPr>
          <w:b/>
          <w:bCs/>
          <w:sz w:val="32"/>
          <w:szCs w:val="32"/>
          <w:u w:val="single"/>
          <w:lang w:val="uk-UA"/>
        </w:rPr>
        <w:t>інгу</w:t>
      </w:r>
      <w:proofErr w:type="spellEnd"/>
      <w:r>
        <w:rPr>
          <w:b/>
          <w:bCs/>
          <w:sz w:val="32"/>
          <w:szCs w:val="32"/>
          <w:u w:val="single"/>
          <w:lang w:val="uk-UA"/>
        </w:rPr>
        <w:t>:</w:t>
      </w:r>
    </w:p>
    <w:p w:rsidR="00E839CE" w:rsidRDefault="00E839CE" w:rsidP="00E839CE">
      <w:pPr>
        <w:pStyle w:val="a3"/>
        <w:spacing w:after="0"/>
        <w:jc w:val="center"/>
        <w:rPr>
          <w:lang w:val="uk-UA"/>
        </w:rPr>
      </w:pPr>
    </w:p>
    <w:p w:rsidR="00E839CE" w:rsidRDefault="00E839CE" w:rsidP="00E839CE">
      <w:pPr>
        <w:pStyle w:val="a3"/>
        <w:numPr>
          <w:ilvl w:val="0"/>
          <w:numId w:val="4"/>
        </w:numPr>
        <w:shd w:val="clear" w:color="auto" w:fill="FFFFFF"/>
        <w:spacing w:after="238" w:line="360" w:lineRule="auto"/>
      </w:pPr>
      <w:r>
        <w:rPr>
          <w:lang w:val="uk-UA"/>
        </w:rPr>
        <w:t xml:space="preserve">Уповноважена особа здійснює контролю за виконанням плану заходів, спрямованих на запобігання та протидію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(цькуванню) в закладі освіти та розгляд скарг. </w:t>
      </w:r>
    </w:p>
    <w:p w:rsidR="00E839CE" w:rsidRDefault="00E839CE" w:rsidP="00E839CE">
      <w:pPr>
        <w:pStyle w:val="a3"/>
        <w:numPr>
          <w:ilvl w:val="0"/>
          <w:numId w:val="4"/>
        </w:numPr>
        <w:shd w:val="clear" w:color="auto" w:fill="FFFFFF"/>
        <w:spacing w:after="238" w:line="360" w:lineRule="auto"/>
      </w:pPr>
      <w:r>
        <w:rPr>
          <w:lang w:val="uk-UA"/>
        </w:rPr>
        <w:t xml:space="preserve">У разі виявлення випадків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працівникам школи повідомити керівника закладу, уповноважену особу. </w:t>
      </w:r>
    </w:p>
    <w:p w:rsidR="00E839CE" w:rsidRPr="00E839CE" w:rsidRDefault="00E839CE" w:rsidP="00E839CE">
      <w:pPr>
        <w:pStyle w:val="a3"/>
        <w:numPr>
          <w:ilvl w:val="0"/>
          <w:numId w:val="4"/>
        </w:numPr>
        <w:shd w:val="clear" w:color="auto" w:fill="FFFFFF"/>
        <w:spacing w:after="238" w:line="360" w:lineRule="auto"/>
        <w:rPr>
          <w:lang w:val="uk-UA"/>
        </w:rPr>
      </w:pPr>
      <w:r>
        <w:rPr>
          <w:lang w:val="uk-UA"/>
        </w:rPr>
        <w:t xml:space="preserve">Комісія по вирішенню проблем дітей, які потребують підвищеної педагогічної уваги, разом з батьками постраждалого та </w:t>
      </w:r>
      <w:proofErr w:type="spellStart"/>
      <w:r>
        <w:rPr>
          <w:lang w:val="uk-UA"/>
        </w:rPr>
        <w:t>булера</w:t>
      </w:r>
      <w:proofErr w:type="spellEnd"/>
      <w:r>
        <w:rPr>
          <w:lang w:val="uk-UA"/>
        </w:rPr>
        <w:t xml:space="preserve">, уповноваженої особи проводять розслідування випадку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відповідно заяви. Якщо Комісія визнала, що це був </w:t>
      </w:r>
      <w:proofErr w:type="spellStart"/>
      <w:r>
        <w:rPr>
          <w:lang w:val="uk-UA"/>
        </w:rPr>
        <w:t>булінг</w:t>
      </w:r>
      <w:proofErr w:type="spellEnd"/>
      <w:r>
        <w:rPr>
          <w:lang w:val="uk-UA"/>
        </w:rPr>
        <w:t xml:space="preserve"> (цькування), а не одноразовий конфлікт чи сварка, тобто відповідні дії носять систематичний характер, то уповноважена особа зобов’язана повідомити уповноважені підрозділи органів Національної поліції України (ювенальна поліція) та Службу у справах дітей.</w:t>
      </w:r>
    </w:p>
    <w:p w:rsidR="00E839CE" w:rsidRPr="00E839CE" w:rsidRDefault="00E839CE" w:rsidP="00E839CE">
      <w:pPr>
        <w:pStyle w:val="a3"/>
        <w:spacing w:after="0"/>
        <w:rPr>
          <w:lang w:val="uk-UA"/>
        </w:rPr>
      </w:pPr>
    </w:p>
    <w:p w:rsidR="005E6FE3" w:rsidRPr="00E839CE" w:rsidRDefault="005E6FE3" w:rsidP="00E839CE">
      <w:pPr>
        <w:rPr>
          <w:lang w:val="uk-UA"/>
        </w:rPr>
      </w:pPr>
    </w:p>
    <w:sectPr w:rsidR="005E6FE3" w:rsidRPr="00E839CE" w:rsidSect="005E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1E1"/>
    <w:multiLevelType w:val="multilevel"/>
    <w:tmpl w:val="3ACA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423EA"/>
    <w:multiLevelType w:val="multilevel"/>
    <w:tmpl w:val="1F7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03D30"/>
    <w:multiLevelType w:val="multilevel"/>
    <w:tmpl w:val="548E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1132B"/>
    <w:multiLevelType w:val="multilevel"/>
    <w:tmpl w:val="2CBA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57B83"/>
    <w:rsid w:val="005522D0"/>
    <w:rsid w:val="005E6FE3"/>
    <w:rsid w:val="00657B83"/>
    <w:rsid w:val="00E8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B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пользователь-777</dc:creator>
  <cp:lastModifiedBy>пользователь-777</cp:lastModifiedBy>
  <cp:revision>2</cp:revision>
  <dcterms:created xsi:type="dcterms:W3CDTF">2020-04-26T14:53:00Z</dcterms:created>
  <dcterms:modified xsi:type="dcterms:W3CDTF">2020-04-26T14:53:00Z</dcterms:modified>
</cp:coreProperties>
</file>