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26" w:rsidRPr="00230226" w:rsidRDefault="00230226" w:rsidP="00230226">
      <w:pPr>
        <w:rPr>
          <w:rFonts w:ascii="Times New Roman" w:hAnsi="Times New Roman" w:cs="Times New Roman"/>
          <w:b/>
          <w:sz w:val="28"/>
          <w:szCs w:val="28"/>
        </w:rPr>
      </w:pPr>
      <w:r w:rsidRPr="00230226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ідставі положень </w:t>
      </w:r>
      <w:hyperlink r:id="rId6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Конституції України</w:t>
        </w:r>
      </w:hyperlink>
      <w:r w:rsidRPr="00230226">
        <w:rPr>
          <w:rFonts w:ascii="Times New Roman" w:hAnsi="Times New Roman" w:cs="Times New Roman"/>
          <w:sz w:val="28"/>
          <w:szCs w:val="28"/>
        </w:rPr>
        <w:t> і </w:t>
      </w:r>
      <w:hyperlink r:id="rId7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Конвенції ООН про права дитини 26 квітня 2001 р.</w:t>
        </w:r>
      </w:hyperlink>
      <w:r w:rsidRPr="00230226">
        <w:rPr>
          <w:rFonts w:ascii="Times New Roman" w:hAnsi="Times New Roman" w:cs="Times New Roman"/>
          <w:sz w:val="28"/>
          <w:szCs w:val="28"/>
        </w:rPr>
        <w:t> в Україні був прийнятий </w:t>
      </w:r>
      <w:hyperlink r:id="rId8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Закон "Про охорону дитинства",</w:t>
        </w:r>
      </w:hyperlink>
      <w:r w:rsidRPr="00230226">
        <w:rPr>
          <w:rFonts w:ascii="Times New Roman" w:hAnsi="Times New Roman" w:cs="Times New Roman"/>
          <w:sz w:val="28"/>
          <w:szCs w:val="28"/>
        </w:rPr>
        <w:t> який визначає охорону дитинства стратегічним загальнонаціональним пріоритетом і з метою забезпечення реалізації прав дитини на життя, охорону здоров'я, освіту, соціальний захист та всебічний розвиток встановлює основні засади державної політики у цій сфері.</w:t>
      </w:r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30226">
        <w:rPr>
          <w:rFonts w:ascii="Times New Roman" w:hAnsi="Times New Roman" w:cs="Times New Roman"/>
          <w:b/>
          <w:i/>
          <w:sz w:val="28"/>
          <w:szCs w:val="28"/>
        </w:rPr>
        <w:t>Домашнє насильство</w:t>
      </w:r>
      <w:r w:rsidRPr="0023022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230226">
        <w:rPr>
          <w:rFonts w:ascii="Times New Roman" w:hAnsi="Times New Roman" w:cs="Times New Roman"/>
          <w:sz w:val="28"/>
          <w:szCs w:val="28"/>
        </w:rPr>
        <w:t>- діяння (дії або бездіяльність) фізичного, сексуального, психологічного або економічного насильства, що вчиняються в сі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м'ї чи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 xml:space="preserve"> в межах місця проживання або між родичами, або між колишнім чи теперішнім подружжям, або між іншими особами, які спільно проживають (проживали) однією сім'єю, але не перебувають (не перебували) у родинних відносинах чи у шлюбі між собою, незалежно від того, чи проживає (проживала) особа, яка вчинила домашнє насильство, у тому самому місці, що й постраждала особа, а також погрози вчинення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 xml:space="preserve"> діянь.</w:t>
      </w:r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Дитина, яка постраждала від домашнього насильства (постраждала дитина), - особа, яка не досягла 18 років та зазнала домашнього насильства у будь-якій формі або стала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ідком (очевидцем) такого насильства (</w:t>
      </w:r>
      <w:hyperlink r:id="rId9" w:anchor="n6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1 Закону України "Про запобігання та протидію домашньому насильству"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).</w:t>
      </w:r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Будь-які дії, що вчиняються щодо постраждалої дитини у сфері захисту її прав, базуються на принципах, визначених </w:t>
      </w:r>
      <w:hyperlink r:id="rId10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Конвенцією</w:t>
        </w:r>
        <w:proofErr w:type="gramStart"/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 xml:space="preserve"> Р</w:t>
        </w:r>
        <w:proofErr w:type="gramEnd"/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ади Європи про захист дітей від сексуальної експлуатації та сексуального насильства</w:t>
        </w:r>
      </w:hyperlink>
      <w:r w:rsidRPr="00230226">
        <w:rPr>
          <w:rFonts w:ascii="Times New Roman" w:hAnsi="Times New Roman" w:cs="Times New Roman"/>
          <w:sz w:val="28"/>
          <w:szCs w:val="28"/>
        </w:rPr>
        <w:t>, </w:t>
      </w:r>
      <w:hyperlink r:id="rId11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Європейською конвенцією про здійснення прав дітей</w:t>
        </w:r>
      </w:hyperlink>
      <w:r w:rsidRPr="00230226">
        <w:rPr>
          <w:rFonts w:ascii="Times New Roman" w:hAnsi="Times New Roman" w:cs="Times New Roman"/>
          <w:sz w:val="28"/>
          <w:szCs w:val="28"/>
        </w:rPr>
        <w:t> та законодавчими актами України.</w:t>
      </w:r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0226">
        <w:rPr>
          <w:rFonts w:ascii="Times New Roman" w:hAnsi="Times New Roman" w:cs="Times New Roman"/>
          <w:sz w:val="28"/>
          <w:szCs w:val="28"/>
        </w:rPr>
        <w:t>Дитина, яка перебуває у складних життєвих обставинах, - дитина, яка потрапила в умови, що негативно впливають на її життя, стан здоров'я та розвиток у зв'язку з інвалідністю, тяжкою хворобою, безпритульністю, перебуванням у конфлікті із законом, залученням до найгірших форм дитячої праці, залежністю від психотропних речовин та інших видів залежності, жорстоким поводженням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 xml:space="preserve">, зокрема домашнім насильством, ухилянням батьків,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осіб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, які їх замінюють, від виконання своїх обов'язків, обставинами стихійного лиха, техногенних аварій, катастроф, воєнних дій чи збройних конфліктів тощо, що встановлено за результатами оцінки потреб дитини.</w:t>
      </w:r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0226">
        <w:rPr>
          <w:rFonts w:ascii="Times New Roman" w:hAnsi="Times New Roman" w:cs="Times New Roman"/>
          <w:b/>
          <w:bCs/>
          <w:sz w:val="28"/>
          <w:szCs w:val="28"/>
        </w:rPr>
        <w:t>Жорстоке поводження з дитиною - будь-які форми фізичного, психологічного, сексуального або економічного насильства над дитиною, зокрема домашнього насильства</w:t>
      </w:r>
      <w:r w:rsidRPr="00230226">
        <w:rPr>
          <w:rFonts w:ascii="Times New Roman" w:hAnsi="Times New Roman" w:cs="Times New Roman"/>
          <w:sz w:val="28"/>
          <w:szCs w:val="28"/>
        </w:rPr>
        <w:t xml:space="preserve">, а також будь-які незаконні угоди </w:t>
      </w:r>
      <w:r w:rsidRPr="00230226">
        <w:rPr>
          <w:rFonts w:ascii="Times New Roman" w:hAnsi="Times New Roman" w:cs="Times New Roman"/>
          <w:sz w:val="28"/>
          <w:szCs w:val="28"/>
        </w:rPr>
        <w:lastRenderedPageBreak/>
        <w:t>стосовно дитини, зокрема вербування, переміщення, переховування, передача або одержання дитини, вчинені з метою експлуатації, з використанням обману, шантажу чи уразливого стану дитини (</w:t>
      </w:r>
      <w:hyperlink r:id="rId12" w:anchor="n8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1 Закону України "Про охорону дитинства"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b/>
          <w:bCs/>
          <w:sz w:val="28"/>
          <w:szCs w:val="28"/>
        </w:rPr>
        <w:t>Жорстоким поводженням з дитиною</w:t>
      </w:r>
      <w:proofErr w:type="gramStart"/>
      <w:r w:rsidRPr="00230226">
        <w:rPr>
          <w:rFonts w:ascii="Times New Roman" w:hAnsi="Times New Roman" w:cs="Times New Roman"/>
          <w:b/>
          <w:bCs/>
          <w:sz w:val="28"/>
          <w:szCs w:val="28"/>
        </w:rPr>
        <w:t xml:space="preserve"> є:</w:t>
      </w:r>
      <w:proofErr w:type="gramEnd"/>
    </w:p>
    <w:p w:rsidR="00230226" w:rsidRPr="00230226" w:rsidRDefault="00230226" w:rsidP="0023022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30226">
        <w:rPr>
          <w:rFonts w:ascii="Times New Roman" w:hAnsi="Times New Roman" w:cs="Times New Roman"/>
          <w:sz w:val="28"/>
          <w:szCs w:val="28"/>
        </w:rPr>
        <w:t>будь-яка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 xml:space="preserve"> форма рабства або практика, подібна до рабства, зокрема продаж дітей та торгівля ними, боргова залежність, примусова чи обов'язкова праця, включаючи примусове чи обов'язкове вербування дітей для використання їх у збройних конфліктах;</w:t>
      </w:r>
    </w:p>
    <w:p w:rsidR="00230226" w:rsidRPr="00230226" w:rsidRDefault="00230226" w:rsidP="0023022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використання, вербування або пропонування дитини для зайняття проституцією, виробництва творів, зображень, кін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 xml:space="preserve"> та відеопродукції, комп’ютерних програм, інших предметів порнографічного характеру;</w:t>
      </w:r>
    </w:p>
    <w:p w:rsidR="00230226" w:rsidRPr="00230226" w:rsidRDefault="00230226" w:rsidP="0023022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робота, яка за характером чи умовами виконання може завдати шкоди фізичному або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ічному здоров'ю дитини;</w:t>
      </w:r>
    </w:p>
    <w:p w:rsidR="00230226" w:rsidRPr="00230226" w:rsidRDefault="00230226" w:rsidP="0023022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використання дитини в жебрацтві, втягнення її в жебрацтво (систематичне випрошування грошей, речей, інших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іальних цінностей у сторонніх осіб);</w:t>
      </w:r>
    </w:p>
    <w:p w:rsidR="00230226" w:rsidRPr="00230226" w:rsidRDefault="00230226" w:rsidP="0023022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втягнення у злочинну діяльність, залучення до вживання алкоголю, наркотичних засобів, психотропних речовин;</w:t>
      </w:r>
    </w:p>
    <w:p w:rsidR="00230226" w:rsidRPr="00230226" w:rsidRDefault="00230226" w:rsidP="0023022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дії, що призвели до виникнення обставин, за яких дитина стала очевидцем злочину проти життя, здоров'я, волі, честі, гідності, статевої свободи, статевої недоторканності особи;</w:t>
      </w:r>
    </w:p>
    <w:p w:rsidR="00230226" w:rsidRPr="00230226" w:rsidRDefault="00230226" w:rsidP="0023022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30226">
        <w:rPr>
          <w:rFonts w:ascii="Times New Roman" w:hAnsi="Times New Roman" w:cs="Times New Roman"/>
          <w:sz w:val="28"/>
          <w:szCs w:val="28"/>
        </w:rPr>
        <w:t>статеві зносини та розпусні дії стосовно дитини з використанням примусу, погрози, сили, довіри, авторитету, впливу на дитину, особливо вразливої для дитини ситуації, зокрема її розумової чи фізичної неспроможності, пов'язаних з віком, фізичних, психічних, інтелектуальних чи сенсорних порушень або залежного середовища, у тому числі в сім'ї (</w:t>
      </w:r>
      <w:hyperlink r:id="rId13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п. 3 Порядку взаємодії органів державної влади</w:t>
        </w:r>
        <w:proofErr w:type="gramEnd"/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 xml:space="preserve">, органів місцевого  самоврядування, закладів та установ </w:t>
        </w:r>
        <w:proofErr w:type="gramStart"/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п</w:t>
        </w:r>
        <w:proofErr w:type="gramEnd"/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ід час забезпечення соціального захисту дітей, які перебувають у складних життєвих обставинах, у тому числі таких, що можуть загрожувати їх життю та здоров'ю,  затвердженою Постановою Кабінету Міністрів України № 800 від 03 жовтня 2018 року "Деякі питання соціального захисту ді</w:t>
        </w:r>
        <w:proofErr w:type="gramStart"/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тей, які перебувають у складних життєвих обставинах, у тому числі таких, що можуть загрожувати їх життю та здоров'ю"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lastRenderedPageBreak/>
        <w:t xml:space="preserve">Кожній дитині гарантується право на свободу, особисту недоторканність та захист гідності. Дисципліна і порядок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 xml:space="preserve"> сім'ї, навчальних та інших дитячих закладах мають забезпечуватися на принципах, що ґрунтуються на взаємоповазі, справедливості і виключають приниження честі та гідності дитини </w:t>
      </w:r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b/>
          <w:bCs/>
          <w:sz w:val="28"/>
          <w:szCs w:val="28"/>
        </w:rPr>
        <w:t>Держава здійснює захист дитини від:</w:t>
      </w:r>
    </w:p>
    <w:p w:rsidR="00230226" w:rsidRPr="00230226" w:rsidRDefault="00230226" w:rsidP="0023022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усіх форм домашнього насильства та інших проявів жорстокого поводження з дитиною, експлуатації, включаючи сексуальне насильство,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 xml:space="preserve"> числі з боку батьків або осіб, які їх замінюють;</w:t>
      </w:r>
    </w:p>
    <w:p w:rsidR="00230226" w:rsidRPr="00230226" w:rsidRDefault="00230226" w:rsidP="0023022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втягнення у злочинну діяльність, залучення до вживання алкоголю, наркотичних засобів і психотропних речовин;</w:t>
      </w:r>
    </w:p>
    <w:p w:rsidR="00230226" w:rsidRPr="00230226" w:rsidRDefault="00230226" w:rsidP="0023022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залучення до екстремістських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ігійних психокультових угруповань та течій, використання її для створення та розповсюдження порнографічних матеріалів, примушування до проституції, жебрацтва, бродяжництва, втягнення до азартних ігор тощо.</w:t>
      </w:r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Держава через органи опіки і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іклування, служби у справах дітей, центри соціальних служб для сім'ї, дітей та молоді, кол-центр з питань запобігання та протидії домашньому насильству, насильству за ознакою статі та насильству стосовно дітей у </w:t>
      </w:r>
      <w:hyperlink r:id="rId14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230226">
        <w:rPr>
          <w:rFonts w:ascii="Times New Roman" w:hAnsi="Times New Roman" w:cs="Times New Roman"/>
          <w:sz w:val="28"/>
          <w:szCs w:val="28"/>
        </w:rPr>
        <w:t xml:space="preserve">, встановленому законодавством, надає дитині та особам, які піклуються про неї, необхідну допомогу у запобіганні та виявленні випадків жорстокого поводження з дитиною, передачі інформації про ці випадки для розгляду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 xml:space="preserve"> відповідних уповноважених законом органів для проведення розслідування і вжиття заходів щодо припинення насильства (</w:t>
      </w:r>
      <w:hyperlink r:id="rId15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10 Закону України "Про охорону дитинства"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).</w:t>
      </w:r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Держава гарантує всім дітям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івний доступ до безоплатної правової допомоги, необхідної для забезпечення захисту їхніх прав, на підставах та в порядку, встановлених законом, що регулює надання безоплатної правової допомоги (</w:t>
      </w:r>
      <w:hyperlink r:id="rId16" w:anchor="n37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3  Закону України "Про охорону дитинства"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).</w:t>
      </w:r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Права та обов'язки батькі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Правовий захист дітей відповідно батьки (усиновителі) є законними представниками своїх дітей. Вони мають право звертатися до суду, органів державної влади, органів місцевого самоврядування та громадських організацій за захистом прав та інтересів дитини, а також непрацездатних сина або дочки як їх законні представники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 xml:space="preserve"> спеціальних на те повноважень (</w:t>
      </w:r>
      <w:hyperlink r:id="rId17" w:anchor="n1332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ст. 242 Цивільного кодексу України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).</w:t>
      </w:r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lastRenderedPageBreak/>
        <w:t>Правовий захист дітей відповідно є предметом основної турботи та основним обов'язком батьків є забезпечення інтересів своєї дитини (</w:t>
      </w:r>
      <w:hyperlink r:id="rId18" w:anchor="n110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11 Закону України "Про охорону дитинства"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).</w:t>
      </w:r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Батьки або особи, які їх замінюють, несуть відповідальність за порушення прав і обмеження законних інтересів дитини на охорону здоров'я, фізичний і духовний розвиток, навчання, невиконання та ухилення від виконання батьківських обов'язків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ідповідно до закону (</w:t>
      </w:r>
      <w:hyperlink r:id="rId19" w:anchor="n114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12 Закону України "Про охорону дитинства"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).</w:t>
      </w:r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b/>
          <w:bCs/>
          <w:sz w:val="28"/>
          <w:szCs w:val="28"/>
        </w:rPr>
        <w:t>Обов'язки батьків щодо виховання та розвитку дитини</w:t>
      </w:r>
      <w:r w:rsidRPr="00230226">
        <w:rPr>
          <w:rFonts w:ascii="Times New Roman" w:hAnsi="Times New Roman" w:cs="Times New Roman"/>
          <w:sz w:val="28"/>
          <w:szCs w:val="28"/>
        </w:rPr>
        <w:t> (</w:t>
      </w:r>
      <w:hyperlink r:id="rId20" w:anchor="n713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150</w:t>
        </w:r>
        <w:proofErr w:type="gramStart"/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 xml:space="preserve"> С</w:t>
        </w:r>
        <w:proofErr w:type="gramEnd"/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імейного кодексу України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):</w:t>
      </w:r>
    </w:p>
    <w:p w:rsidR="00230226" w:rsidRPr="00230226" w:rsidRDefault="00230226" w:rsidP="0023022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виховувати дитину в дусі поваги до прав та свобод інших людей, любові до своєї сі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'ї і родини, свого народу, своєї Батьківщини;</w:t>
      </w:r>
    </w:p>
    <w:p w:rsidR="00230226" w:rsidRPr="00230226" w:rsidRDefault="00230226" w:rsidP="0023022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302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іклуватися про здоров'я дитини, її фізичний, духовний та моральний розвиток;</w:t>
      </w:r>
    </w:p>
    <w:p w:rsidR="00230226" w:rsidRPr="00230226" w:rsidRDefault="00230226" w:rsidP="0023022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забезпечити здобуття дитиною повної загальної середньої освіти, готувати її до самостійного життя;</w:t>
      </w:r>
    </w:p>
    <w:p w:rsidR="00230226" w:rsidRPr="00230226" w:rsidRDefault="00230226" w:rsidP="0023022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поважати дитину;</w:t>
      </w:r>
    </w:p>
    <w:p w:rsidR="00230226" w:rsidRPr="00230226" w:rsidRDefault="00230226" w:rsidP="0023022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забороняються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будь-як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і види експлуатації батьками своєї дитини;</w:t>
      </w:r>
    </w:p>
    <w:p w:rsidR="00230226" w:rsidRPr="00230226" w:rsidRDefault="00230226" w:rsidP="0023022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забороняються фізичні покарання дитини батьками, а також застосування ними інших видів покарань, які принижують людську гідність дитини.</w:t>
      </w:r>
    </w:p>
    <w:p w:rsidR="00230226" w:rsidRPr="00230226" w:rsidRDefault="00230226" w:rsidP="0023022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ухилення батьків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ід виконання своїх обов'язків по вихованню дитини є підставою </w:t>
      </w:r>
      <w:hyperlink r:id="rId21" w:tooltip="Позбавлення батьківських прав: підстави та порядок розгляду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позбавлення батьківських прав</w:t>
        </w:r>
      </w:hyperlink>
      <w:r w:rsidRPr="00230226">
        <w:rPr>
          <w:rFonts w:ascii="Times New Roman" w:hAnsi="Times New Roman" w:cs="Times New Roman"/>
          <w:sz w:val="28"/>
          <w:szCs w:val="28"/>
        </w:rPr>
        <w:t>.</w:t>
      </w:r>
    </w:p>
    <w:p w:rsidR="00230226" w:rsidRPr="00230226" w:rsidRDefault="00230226" w:rsidP="0023022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виникнення загрози життю і здоров'ю дитини є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ідставою для </w:t>
      </w:r>
      <w:hyperlink r:id="rId22" w:tooltip="Відібрання дитини від батьків без позбавлення їх батьківських прав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відібрання дитини від батьків без позбавлення їх батьківських прав</w:t>
        </w:r>
      </w:hyperlink>
      <w:r w:rsidRPr="00230226">
        <w:rPr>
          <w:rFonts w:ascii="Times New Roman" w:hAnsi="Times New Roman" w:cs="Times New Roman"/>
          <w:sz w:val="28"/>
          <w:szCs w:val="28"/>
        </w:rPr>
        <w:t>.</w:t>
      </w:r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Органи які здійснюють захист дітей від насильства</w:t>
      </w:r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b/>
          <w:bCs/>
          <w:sz w:val="28"/>
          <w:szCs w:val="28"/>
        </w:rPr>
        <w:t>До органів та установ, на які покладаються функції із здійснення заходів у сфері запобігання та протидії домашньому насильству, належать</w:t>
      </w:r>
      <w:r w:rsidRPr="00230226">
        <w:rPr>
          <w:rFonts w:ascii="Times New Roman" w:hAnsi="Times New Roman" w:cs="Times New Roman"/>
          <w:sz w:val="28"/>
          <w:szCs w:val="28"/>
        </w:rPr>
        <w:t> (</w:t>
      </w:r>
      <w:hyperlink r:id="rId23" w:anchor="n67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6 Закону України "Про запобігання та протидію домашньому насильству"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230226" w:rsidRPr="00230226" w:rsidRDefault="00230226" w:rsidP="0023022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служби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 xml:space="preserve"> справах дітей;</w:t>
      </w:r>
    </w:p>
    <w:p w:rsidR="00230226" w:rsidRPr="00230226" w:rsidRDefault="00230226" w:rsidP="0023022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lastRenderedPageBreak/>
        <w:t xml:space="preserve">уповноважені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ідрозділи органів Національної поліції України;</w:t>
      </w:r>
    </w:p>
    <w:p w:rsidR="00230226" w:rsidRPr="00230226" w:rsidRDefault="00230226" w:rsidP="0023022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органи управління освітою, навчальні заклади, установи та організації системи освіти;</w:t>
      </w:r>
    </w:p>
    <w:p w:rsidR="00230226" w:rsidRPr="00230226" w:rsidRDefault="00230226" w:rsidP="0023022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органи охорони здоров'я,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установи та заклади охорони здоров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'я;</w:t>
      </w:r>
    </w:p>
    <w:p w:rsidR="00230226" w:rsidRPr="00230226" w:rsidRDefault="00230226" w:rsidP="0023022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центри з надання безоплатної вторинної правової допомоги;</w:t>
      </w:r>
    </w:p>
    <w:p w:rsidR="00230226" w:rsidRPr="00230226" w:rsidRDefault="00230226" w:rsidP="0023022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суди;</w:t>
      </w:r>
    </w:p>
    <w:p w:rsidR="00230226" w:rsidRPr="00230226" w:rsidRDefault="00230226" w:rsidP="0023022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прокуратура;</w:t>
      </w:r>
    </w:p>
    <w:p w:rsidR="00230226" w:rsidRPr="00230226" w:rsidRDefault="00230226" w:rsidP="0023022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уповноважені органи з питань пробації.</w:t>
      </w:r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b/>
          <w:bCs/>
          <w:sz w:val="28"/>
          <w:szCs w:val="28"/>
        </w:rPr>
        <w:t xml:space="preserve">До загальних служб </w:t>
      </w:r>
      <w:proofErr w:type="gramStart"/>
      <w:r w:rsidRPr="0023022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30226">
        <w:rPr>
          <w:rFonts w:ascii="Times New Roman" w:hAnsi="Times New Roman" w:cs="Times New Roman"/>
          <w:b/>
          <w:bCs/>
          <w:sz w:val="28"/>
          <w:szCs w:val="28"/>
        </w:rPr>
        <w:t>ідтримки постраждалих осіб належать заклади, які, у тому числі, надають допомогу постраждалим особам:</w:t>
      </w:r>
    </w:p>
    <w:p w:rsidR="00230226" w:rsidRPr="00230226" w:rsidRDefault="00230226" w:rsidP="0023022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центри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іальних служб для сім'ї, дітей та молоді;</w:t>
      </w:r>
    </w:p>
    <w:p w:rsidR="00230226" w:rsidRPr="00230226" w:rsidRDefault="00230226" w:rsidP="0023022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притулки для дітей;</w:t>
      </w:r>
    </w:p>
    <w:p w:rsidR="00230226" w:rsidRPr="00230226" w:rsidRDefault="00230226" w:rsidP="0023022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центри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іально-психологічної реабілітації дітей;</w:t>
      </w:r>
    </w:p>
    <w:p w:rsidR="00230226" w:rsidRPr="00230226" w:rsidRDefault="00230226" w:rsidP="0023022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3022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іально-реабілітаційні центри (дитячі містечка);</w:t>
      </w:r>
    </w:p>
    <w:p w:rsidR="00230226" w:rsidRPr="00230226" w:rsidRDefault="00230226" w:rsidP="0023022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центри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іально-психологічної допомоги;</w:t>
      </w:r>
    </w:p>
    <w:p w:rsidR="00230226" w:rsidRPr="00230226" w:rsidRDefault="00230226" w:rsidP="0023022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територіальні центри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іального обслуговування (надання соціальних послуг);</w:t>
      </w:r>
    </w:p>
    <w:p w:rsidR="00230226" w:rsidRPr="00230226" w:rsidRDefault="00230226" w:rsidP="0023022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інші заклади, установи та організації, які надають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іальні послуги постраждалим особам.</w:t>
      </w:r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b/>
          <w:bCs/>
          <w:sz w:val="28"/>
          <w:szCs w:val="28"/>
        </w:rPr>
        <w:t xml:space="preserve">До спеціалізованих служб </w:t>
      </w:r>
      <w:proofErr w:type="gramStart"/>
      <w:r w:rsidRPr="0023022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30226">
        <w:rPr>
          <w:rFonts w:ascii="Times New Roman" w:hAnsi="Times New Roman" w:cs="Times New Roman"/>
          <w:b/>
          <w:bCs/>
          <w:sz w:val="28"/>
          <w:szCs w:val="28"/>
        </w:rPr>
        <w:t>ідтримки постраждалих осіб</w:t>
      </w:r>
      <w:r w:rsidRPr="00230226">
        <w:rPr>
          <w:rFonts w:ascii="Times New Roman" w:hAnsi="Times New Roman" w:cs="Times New Roman"/>
          <w:sz w:val="28"/>
          <w:szCs w:val="28"/>
        </w:rPr>
        <w:t> належать притулки для постраждалих осіб, центри медико-соціальної реабілітації постраждалих осіб, кол-центр з питань запобігання та протидії домашньому насильству, насильству за ознакою статі та насильству стосовно дітей :</w:t>
      </w:r>
    </w:p>
    <w:p w:rsidR="00230226" w:rsidRPr="00230226" w:rsidRDefault="00230226" w:rsidP="0023022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Урядовий центр з протидії насильству – </w:t>
        </w:r>
        <w:r w:rsidRPr="0023022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15-47</w:t>
        </w:r>
      </w:hyperlink>
    </w:p>
    <w:p w:rsidR="00230226" w:rsidRPr="00230226" w:rsidRDefault="00230226" w:rsidP="0023022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Ла Страда «Гаряча лінія»</w:t>
        </w:r>
      </w:hyperlink>
      <w:r w:rsidRPr="00230226">
        <w:rPr>
          <w:rFonts w:ascii="Times New Roman" w:hAnsi="Times New Roman" w:cs="Times New Roman"/>
          <w:sz w:val="28"/>
          <w:szCs w:val="28"/>
        </w:rPr>
        <w:t> для дітей: </w:t>
      </w:r>
      <w:r w:rsidRPr="00230226">
        <w:rPr>
          <w:rFonts w:ascii="Times New Roman" w:hAnsi="Times New Roman" w:cs="Times New Roman"/>
          <w:b/>
          <w:bCs/>
          <w:sz w:val="28"/>
          <w:szCs w:val="28"/>
        </w:rPr>
        <w:t>0-800 – 500-225, 116-111</w:t>
      </w:r>
      <w:r w:rsidRPr="00230226">
        <w:rPr>
          <w:rFonts w:ascii="Times New Roman" w:hAnsi="Times New Roman" w:cs="Times New Roman"/>
          <w:sz w:val="28"/>
          <w:szCs w:val="28"/>
        </w:rPr>
        <w:t> (з мобільного);</w:t>
      </w:r>
    </w:p>
    <w:p w:rsidR="00230226" w:rsidRPr="00230226" w:rsidRDefault="00230226" w:rsidP="0023022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Ла Страда «Гаряча лінія»</w:t>
        </w:r>
      </w:hyperlink>
      <w:r w:rsidRPr="00230226">
        <w:rPr>
          <w:rFonts w:ascii="Times New Roman" w:hAnsi="Times New Roman" w:cs="Times New Roman"/>
          <w:sz w:val="28"/>
          <w:szCs w:val="28"/>
        </w:rPr>
        <w:t> по запобіганню домашнього насильства: </w:t>
      </w:r>
      <w:r w:rsidRPr="00230226">
        <w:rPr>
          <w:rFonts w:ascii="Times New Roman" w:hAnsi="Times New Roman" w:cs="Times New Roman"/>
          <w:b/>
          <w:bCs/>
          <w:sz w:val="28"/>
          <w:szCs w:val="28"/>
        </w:rPr>
        <w:t>0-800-500-005, 116-123</w:t>
      </w:r>
      <w:r w:rsidRPr="00230226">
        <w:rPr>
          <w:rFonts w:ascii="Times New Roman" w:hAnsi="Times New Roman" w:cs="Times New Roman"/>
          <w:sz w:val="28"/>
          <w:szCs w:val="28"/>
        </w:rPr>
        <w:t> (з мобільного);</w:t>
      </w:r>
    </w:p>
    <w:p w:rsidR="00230226" w:rsidRPr="00230226" w:rsidRDefault="00230226" w:rsidP="0023022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«Гарячу лінію» безоплатної правової допомоги</w:t>
        </w:r>
      </w:hyperlink>
      <w:r w:rsidRPr="00230226">
        <w:rPr>
          <w:rFonts w:ascii="Times New Roman" w:hAnsi="Times New Roman" w:cs="Times New Roman"/>
          <w:sz w:val="28"/>
          <w:szCs w:val="28"/>
        </w:rPr>
        <w:t>: </w:t>
      </w:r>
      <w:r w:rsidRPr="00230226">
        <w:rPr>
          <w:rFonts w:ascii="Times New Roman" w:hAnsi="Times New Roman" w:cs="Times New Roman"/>
          <w:b/>
          <w:bCs/>
          <w:sz w:val="28"/>
          <w:szCs w:val="28"/>
        </w:rPr>
        <w:t>0-800-213-103</w:t>
      </w:r>
      <w:r w:rsidRPr="00230226">
        <w:rPr>
          <w:rFonts w:ascii="Times New Roman" w:hAnsi="Times New Roman" w:cs="Times New Roman"/>
          <w:sz w:val="28"/>
          <w:szCs w:val="28"/>
        </w:rPr>
        <w:t>;</w:t>
      </w:r>
    </w:p>
    <w:p w:rsidR="00230226" w:rsidRPr="00230226" w:rsidRDefault="00230226" w:rsidP="0023022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lastRenderedPageBreak/>
        <w:t xml:space="preserve">мобільні бригади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іально-психологічної допомоги постраждалим особам та особам, які постраждали від насильства за ознакою статі, а також заклади та установи, призначені виключно для постраждалих осіб та осіб, які постраждали від насильства за ознакою статі.</w:t>
      </w:r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Дитина вправі особисто звернутися до органу опіки та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іклування, служби у справах дітей, центрів соціальних служб для сім'ї, дітей та молоді, кол-центру з питань запобігання та протидії домашньому насильству, насильству за ознакою статі та насильству стосовно дітей, інших уповноважених органів за захистом своїх прав, свобод і законних інтересів.</w:t>
      </w:r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Координація дій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ізних органів і служб у напрямі подолання насильства щодо дитини</w:t>
      </w:r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Усі дії щодо дитини, яка перебуває у складних життєвих обставинах, спрямовуються на захист прав та інтересів дитини, усунення причин таких обставин і забезпечення безпечних умов її утримання та виховання, надання їй та її батькам комплексу необхідних послуг та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іальної допомоги.</w:t>
      </w:r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Суб'єкти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 xml:space="preserve">іальної роботи з сім’ями, дітьми та молоддю в процесі своєї професійної діяльності здійснюють заходи з виявлення дітей, які перебувають у складних життєвих обставинах, надають їм комплекс послуг у межах повноважень, визначених законодавством, інформують інших суб'єктів, органи опіки та піклування в разі необхідності здійснення комплексних заходів щодо захисту прав та інтересів дитини та надання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ідтримки батькам чи притягнення їх до відповідальності. Суб'єкти соціальної роботи з сім’ями, дітьми та молоддю забезпечують ведення обліку дітей, які перебувають у складних життєвих обставинах.</w:t>
      </w:r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У разі якщо у зв'язку із складними життєвими обставинами дитина тимчасово не проживає чи не може проживати із своїми батьками, іншими законними представниками, її утримання та виховання можуть здійснювати родичі, сім’я патронатного вихователя, центри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 xml:space="preserve">іально-психологічної реабілітації дітей, притулки для дітей служб у справах дітей, інші установи для дітей (незалежно від форми власності та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ідпорядкування), в яких створені належні умови для проживання, виховання, навчання та реабілітації дитини відповідно до її потреб.</w:t>
      </w:r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Уповноважені органи, що здійснюють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 xml:space="preserve">іальну роботу з сім’ями, дітьми та молоддю, зобов'язані в максимально короткий термін запропонувати сім'ї дитини комплекс послуг, спрямованих на мінімізацію чи повне подолання </w:t>
      </w:r>
      <w:r w:rsidRPr="00230226">
        <w:rPr>
          <w:rFonts w:ascii="Times New Roman" w:hAnsi="Times New Roman" w:cs="Times New Roman"/>
          <w:sz w:val="28"/>
          <w:szCs w:val="28"/>
        </w:rPr>
        <w:lastRenderedPageBreak/>
        <w:t>складних життєвих обставин, та сприяти поверненню дитини до батьків, інших законних представників.</w:t>
      </w:r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У разі якщо повернення дитини до батьків, інших законних представників є неможливим чи суперечить її інтересам, органи опіки та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іклування здійснюють заходи щодо надання дитині статусу дитини-сироти чи дитини, позбавленої батьківського піклування, захисту її житлових та майнових прав, влаштування в одну із форм виховання, яка найбільше відповідає найкращим інтересам дитини (</w:t>
      </w:r>
      <w:hyperlink r:id="rId28" w:anchor="n244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 xml:space="preserve">стаття 23 Закону </w:t>
        </w:r>
        <w:proofErr w:type="gramStart"/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України "Про охорону дитинства"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Міністерство освіти і науки України з метою виконання законодавчих вимог Закону України "Про запобігання та протидію домашньому насильству" розробило спільно з Міністерством молоді та спорту України для використання у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ілактичній освітній діяльності Методичні рекомендації щодо запобігання та протидії насильству. (</w:t>
      </w:r>
      <w:hyperlink r:id="rId29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Методичні рекомендації щодо запобігання та протидії насильству: лист від 18.05.2018 № 1/11-548</w:t>
        </w:r>
      </w:hyperlink>
      <w:r w:rsidRPr="00230226">
        <w:rPr>
          <w:rFonts w:ascii="Times New Roman" w:hAnsi="Times New Roman" w:cs="Times New Roman"/>
          <w:sz w:val="28"/>
          <w:szCs w:val="28"/>
        </w:rPr>
        <w:t>.)</w:t>
      </w:r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ідставі аналізу літератури та наукових джерел щодо запобігання і протидії насильству сформульовано рекомендації соціальним працівникам, соціальним педагогам, психологам, педагогічним працівникам, батькам у разі звернення до них постраждалих від насильства.</w:t>
      </w:r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Порядок проведення та документування результатів медичного обстеження постраждалих осіб від домашнього насильства, та надання їм медичної допомоги закріплено наказом Міністерства охорони здоров'я України від 01.02.2019 № 278</w:t>
        </w:r>
      </w:hyperlink>
      <w:r w:rsidRPr="00230226">
        <w:rPr>
          <w:rFonts w:ascii="Times New Roman" w:hAnsi="Times New Roman" w:cs="Times New Roman"/>
          <w:sz w:val="28"/>
          <w:szCs w:val="28"/>
        </w:rPr>
        <w:t xml:space="preserve">. Працівники освіти у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своїй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 xml:space="preserve"> діяльності щодо запобігання та протидії домашньому насильству керуються наказом Міністерства освіти і науки України від 02.10.2018 № 1047 "</w:t>
      </w:r>
      <w:hyperlink r:id="rId31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Про затвердження Методичних рекомендацій щодо виявлення, реагування на випадки домашнього насильства і взаємодія педагогічних працівників із іншими органами та службами"</w:t>
        </w:r>
      </w:hyperlink>
      <w:r w:rsidRPr="00230226">
        <w:rPr>
          <w:rFonts w:ascii="Times New Roman" w:hAnsi="Times New Roman" w:cs="Times New Roman"/>
          <w:sz w:val="28"/>
          <w:szCs w:val="28"/>
        </w:rPr>
        <w:t>.</w:t>
      </w:r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Відповідальність</w:t>
      </w:r>
    </w:p>
    <w:p w:rsidR="00230226" w:rsidRPr="00230226" w:rsidRDefault="00230226" w:rsidP="00230226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30226">
        <w:rPr>
          <w:rFonts w:ascii="Times New Roman" w:hAnsi="Times New Roman" w:cs="Times New Roman"/>
          <w:b/>
          <w:bCs/>
          <w:sz w:val="28"/>
          <w:szCs w:val="28"/>
        </w:rPr>
        <w:t>Адм</w:t>
      </w:r>
      <w:proofErr w:type="gramEnd"/>
      <w:r w:rsidRPr="00230226">
        <w:rPr>
          <w:rFonts w:ascii="Times New Roman" w:hAnsi="Times New Roman" w:cs="Times New Roman"/>
          <w:b/>
          <w:bCs/>
          <w:sz w:val="28"/>
          <w:szCs w:val="28"/>
        </w:rPr>
        <w:t>іністративна відповідальність</w:t>
      </w:r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b/>
          <w:bCs/>
          <w:sz w:val="28"/>
          <w:szCs w:val="28"/>
        </w:rPr>
        <w:t xml:space="preserve">Перелік правопорушень за які передбачено </w:t>
      </w:r>
      <w:proofErr w:type="gramStart"/>
      <w:r w:rsidRPr="00230226">
        <w:rPr>
          <w:rFonts w:ascii="Times New Roman" w:hAnsi="Times New Roman" w:cs="Times New Roman"/>
          <w:b/>
          <w:bCs/>
          <w:sz w:val="28"/>
          <w:szCs w:val="28"/>
        </w:rPr>
        <w:t>адм</w:t>
      </w:r>
      <w:proofErr w:type="gramEnd"/>
      <w:r w:rsidRPr="00230226">
        <w:rPr>
          <w:rFonts w:ascii="Times New Roman" w:hAnsi="Times New Roman" w:cs="Times New Roman"/>
          <w:b/>
          <w:bCs/>
          <w:sz w:val="28"/>
          <w:szCs w:val="28"/>
        </w:rPr>
        <w:t>іністративну відповідальність:</w:t>
      </w:r>
    </w:p>
    <w:p w:rsidR="00230226" w:rsidRPr="00230226" w:rsidRDefault="00230226" w:rsidP="0023022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доведення неповнолітнього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 xml:space="preserve"> стану сп'яніння (</w:t>
      </w:r>
      <w:hyperlink r:id="rId32" w:anchor="n1918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180 КУпАП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);</w:t>
      </w:r>
    </w:p>
    <w:p w:rsidR="00230226" w:rsidRPr="00230226" w:rsidRDefault="00230226" w:rsidP="0023022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невиконання батьками або особами, що їх замінюють, обов'язків щодо виховання дітей (</w:t>
      </w:r>
      <w:hyperlink r:id="rId33" w:anchor="n1948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184 КУпАП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);</w:t>
      </w:r>
    </w:p>
    <w:p w:rsidR="00230226" w:rsidRPr="00230226" w:rsidRDefault="00230226" w:rsidP="0023022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lastRenderedPageBreak/>
        <w:t xml:space="preserve">вчинення домашнього насильства, насильства за ознакою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стат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і, невиконання термінового заборонного припису або неповідомлення про місце свого тимчасового перебування (</w:t>
      </w:r>
      <w:hyperlink r:id="rId34" w:anchor="n1859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173 КУпАП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).</w:t>
      </w:r>
    </w:p>
    <w:p w:rsidR="00230226" w:rsidRPr="00230226" w:rsidRDefault="00230226" w:rsidP="002302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0226">
        <w:rPr>
          <w:rFonts w:ascii="Times New Roman" w:hAnsi="Times New Roman" w:cs="Times New Roman"/>
          <w:b/>
          <w:bCs/>
          <w:sz w:val="28"/>
          <w:szCs w:val="28"/>
        </w:rPr>
        <w:t>Кримінальна відповідальність</w:t>
      </w:r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Захист від найбільш небезпечних порушень прав неповнолітніх забезпечує </w:t>
      </w:r>
      <w:hyperlink r:id="rId35" w:history="1">
        <w:r w:rsidRPr="0023022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Кримінальний кодекс України</w:t>
        </w:r>
      </w:hyperlink>
      <w:r w:rsidRPr="00230226">
        <w:rPr>
          <w:rFonts w:ascii="Times New Roman" w:hAnsi="Times New Roman" w:cs="Times New Roman"/>
          <w:sz w:val="28"/>
          <w:szCs w:val="28"/>
        </w:rPr>
        <w:t xml:space="preserve">. Він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містить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 xml:space="preserve"> як загальні норми, що захищають всіх громадян від жорстокого поводження, так і норми, безпосередньо спрямовані на захист життя, здоров'я та недоторканності неповнолітнього.</w:t>
      </w:r>
    </w:p>
    <w:p w:rsidR="00230226" w:rsidRPr="00230226" w:rsidRDefault="00230226" w:rsidP="00230226">
      <w:p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b/>
          <w:bCs/>
          <w:sz w:val="28"/>
          <w:szCs w:val="28"/>
        </w:rPr>
        <w:t>До переліку дій, які можна розглядати як жорстоке поводження з дітьми та за які передбачено кримінальну відповідальність відносяться</w:t>
      </w:r>
      <w:proofErr w:type="gramStart"/>
      <w:r w:rsidRPr="00230226">
        <w:rPr>
          <w:rFonts w:ascii="Times New Roman" w:hAnsi="Times New Roman" w:cs="Times New Roman"/>
          <w:b/>
          <w:bCs/>
          <w:sz w:val="28"/>
          <w:szCs w:val="28"/>
        </w:rPr>
        <w:t> :</w:t>
      </w:r>
      <w:proofErr w:type="gramEnd"/>
    </w:p>
    <w:p w:rsidR="00230226" w:rsidRPr="00230226" w:rsidRDefault="00230226" w:rsidP="0023022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доведення до самогубства (</w:t>
      </w:r>
      <w:hyperlink r:id="rId36" w:anchor="n779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120 ККУ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);</w:t>
      </w:r>
    </w:p>
    <w:p w:rsidR="00230226" w:rsidRPr="00230226" w:rsidRDefault="00230226" w:rsidP="0023022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умисне тяжке тілесне ушкодження (</w:t>
      </w:r>
      <w:hyperlink r:id="rId37" w:anchor="n786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121 ККУ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);</w:t>
      </w:r>
    </w:p>
    <w:p w:rsidR="00230226" w:rsidRPr="00230226" w:rsidRDefault="00230226" w:rsidP="0023022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умисне середньої тяжкості тілесне ушкодження (</w:t>
      </w:r>
      <w:hyperlink r:id="rId38" w:anchor="n792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122 ККУ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);</w:t>
      </w:r>
    </w:p>
    <w:p w:rsidR="00230226" w:rsidRPr="00230226" w:rsidRDefault="00230226" w:rsidP="0023022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умисне легке тілесне ушкодження (</w:t>
      </w:r>
      <w:hyperlink r:id="rId39" w:anchor="n804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125 ККУ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);</w:t>
      </w:r>
    </w:p>
    <w:p w:rsidR="00230226" w:rsidRPr="00230226" w:rsidRDefault="00230226" w:rsidP="0023022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побої й мордування (</w:t>
      </w:r>
      <w:hyperlink r:id="rId40" w:anchor="n810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126 ККУ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);</w:t>
      </w:r>
    </w:p>
    <w:p w:rsidR="00230226" w:rsidRPr="00230226" w:rsidRDefault="00230226" w:rsidP="0023022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домашнє насильство (</w:t>
      </w:r>
      <w:hyperlink r:id="rId41" w:anchor="n810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126 ККУ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</w:t>
      </w:r>
    </w:p>
    <w:p w:rsidR="00230226" w:rsidRPr="00230226" w:rsidRDefault="00230226" w:rsidP="0023022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катування (</w:t>
      </w:r>
      <w:hyperlink r:id="rId42" w:anchor="n816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127 ККУ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</w:t>
      </w:r>
    </w:p>
    <w:p w:rsidR="00230226" w:rsidRPr="00230226" w:rsidRDefault="00230226" w:rsidP="0023022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необережне тяжке або середньої тяжкості тілесне ушкодження (</w:t>
      </w:r>
      <w:hyperlink r:id="rId43" w:anchor="n822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128 ККУ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);</w:t>
      </w:r>
    </w:p>
    <w:p w:rsidR="00230226" w:rsidRPr="00230226" w:rsidRDefault="00230226" w:rsidP="0023022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погроза вбивством (</w:t>
      </w:r>
      <w:hyperlink r:id="rId44" w:anchor="n825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129 ККУ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);</w:t>
      </w:r>
    </w:p>
    <w:p w:rsidR="00230226" w:rsidRPr="00230226" w:rsidRDefault="00230226" w:rsidP="0023022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незаконне проведення аборту або стерилізації  (</w:t>
      </w:r>
      <w:hyperlink r:id="rId45" w:anchor="n855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134 ККУ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);</w:t>
      </w:r>
    </w:p>
    <w:p w:rsidR="00230226" w:rsidRPr="00230226" w:rsidRDefault="00230226" w:rsidP="0023022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неналежне виконання обов'язків щодо охорони життя та здоров'я дітей (</w:t>
      </w:r>
      <w:hyperlink r:id="rId46" w:anchor="n875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137 ККУ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);</w:t>
      </w:r>
    </w:p>
    <w:p w:rsidR="00230226" w:rsidRPr="00230226" w:rsidRDefault="00230226" w:rsidP="0023022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експлуатація дітей (</w:t>
      </w:r>
      <w:hyperlink r:id="rId47" w:anchor="n953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150 ККУ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</w:t>
      </w:r>
    </w:p>
    <w:p w:rsidR="00230226" w:rsidRPr="00230226" w:rsidRDefault="00230226" w:rsidP="0023022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використання малолітньої дитини для заняття жебрацтвом (</w:t>
      </w:r>
      <w:hyperlink r:id="rId48" w:anchor="n961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150-1 ККУ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</w:t>
      </w:r>
    </w:p>
    <w:p w:rsidR="00230226" w:rsidRPr="00230226" w:rsidRDefault="00230226" w:rsidP="0023022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примушування до шлюбу (</w:t>
      </w:r>
      <w:hyperlink r:id="rId49" w:anchor="n3438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150-2 ККУ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</w:t>
      </w:r>
    </w:p>
    <w:p w:rsidR="00230226" w:rsidRPr="00230226" w:rsidRDefault="00230226" w:rsidP="0023022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зґвалтування (</w:t>
      </w:r>
      <w:hyperlink r:id="rId50" w:anchor="n976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152 ККУ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);</w:t>
      </w:r>
    </w:p>
    <w:p w:rsidR="00230226" w:rsidRPr="00230226" w:rsidRDefault="00230226" w:rsidP="0023022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lastRenderedPageBreak/>
        <w:t>сексуальне насильство (</w:t>
      </w:r>
      <w:hyperlink r:id="rId51" w:anchor="n986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153 ККУ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);</w:t>
      </w:r>
    </w:p>
    <w:p w:rsidR="00230226" w:rsidRPr="00230226" w:rsidRDefault="00230226" w:rsidP="0023022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примушування до вступу в статевий зв'язок (</w:t>
      </w:r>
      <w:hyperlink r:id="rId52" w:anchor="n994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154 ККУ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);</w:t>
      </w:r>
    </w:p>
    <w:p w:rsidR="00230226" w:rsidRPr="00230226" w:rsidRDefault="00230226" w:rsidP="0023022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статеві зносини з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особою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, яка не досягла шістнадцятирічного віку (</w:t>
      </w:r>
      <w:hyperlink r:id="rId53" w:anchor="n999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155 ККУ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);</w:t>
      </w:r>
    </w:p>
    <w:p w:rsidR="00230226" w:rsidRPr="00230226" w:rsidRDefault="00230226" w:rsidP="0023022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розбещення неповнолітніх (</w:t>
      </w:r>
      <w:hyperlink r:id="rId54" w:anchor="n1006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156 ККУ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);</w:t>
      </w:r>
    </w:p>
    <w:p w:rsidR="00230226" w:rsidRPr="00230226" w:rsidRDefault="00230226" w:rsidP="0023022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злісне невиконання обов'язків по догляду за дитиною або за особою, щодо якої встановлена опіка чи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іклування (</w:t>
      </w:r>
      <w:hyperlink r:id="rId55" w:anchor="n1104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166 ККУ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);</w:t>
      </w:r>
    </w:p>
    <w:p w:rsidR="00230226" w:rsidRPr="00230226" w:rsidRDefault="00230226" w:rsidP="0023022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втягнення неповнолітніх у злочинну діяльність (</w:t>
      </w:r>
      <w:hyperlink r:id="rId56" w:anchor="n2108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304 ККУ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);</w:t>
      </w:r>
    </w:p>
    <w:p w:rsidR="00230226" w:rsidRPr="00230226" w:rsidRDefault="00230226" w:rsidP="0023022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схиляння до вживання наркотичних засобів, психотропних речовин або їх аналогів (</w:t>
      </w:r>
      <w:hyperlink r:id="rId57" w:anchor="n2194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315 ККУ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);</w:t>
      </w:r>
    </w:p>
    <w:p w:rsidR="00230226" w:rsidRPr="00230226" w:rsidRDefault="00230226" w:rsidP="0023022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 xml:space="preserve">спонукання неповнолітніх до застосування </w:t>
      </w:r>
      <w:proofErr w:type="gramStart"/>
      <w:r w:rsidRPr="00230226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230226">
        <w:rPr>
          <w:rFonts w:ascii="Times New Roman" w:hAnsi="Times New Roman" w:cs="Times New Roman"/>
          <w:sz w:val="28"/>
          <w:szCs w:val="28"/>
        </w:rPr>
        <w:t>інгу (</w:t>
      </w:r>
      <w:hyperlink r:id="rId58" w:anchor="n2259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323 ККУ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);</w:t>
      </w:r>
    </w:p>
    <w:p w:rsidR="00230226" w:rsidRPr="00230226" w:rsidRDefault="00230226" w:rsidP="0023022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схиляння неповнолітніх до вживання одурманюючих засобів (</w:t>
      </w:r>
      <w:hyperlink r:id="rId59" w:anchor="n2270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324 ККУ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</w:t>
      </w:r>
    </w:p>
    <w:p w:rsidR="00230226" w:rsidRPr="00230226" w:rsidRDefault="00230226" w:rsidP="0023022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0226">
        <w:rPr>
          <w:rFonts w:ascii="Times New Roman" w:hAnsi="Times New Roman" w:cs="Times New Roman"/>
          <w:sz w:val="28"/>
          <w:szCs w:val="28"/>
        </w:rPr>
        <w:t>невиконання обмежувальних заходів, обмежувальних приписів або непроходження програми для кривдників (</w:t>
      </w:r>
      <w:hyperlink r:id="rId60" w:anchor="n2781" w:history="1">
        <w:r w:rsidRPr="00230226">
          <w:rPr>
            <w:rStyle w:val="a3"/>
            <w:rFonts w:ascii="Times New Roman" w:hAnsi="Times New Roman" w:cs="Times New Roman"/>
            <w:sz w:val="28"/>
            <w:szCs w:val="28"/>
          </w:rPr>
          <w:t>стаття 390 ККУ</w:t>
        </w:r>
      </w:hyperlink>
      <w:r w:rsidRPr="00230226">
        <w:rPr>
          <w:rFonts w:ascii="Times New Roman" w:hAnsi="Times New Roman" w:cs="Times New Roman"/>
          <w:sz w:val="28"/>
          <w:szCs w:val="28"/>
        </w:rPr>
        <w:t>).</w:t>
      </w:r>
    </w:p>
    <w:p w:rsidR="005E111B" w:rsidRPr="00230226" w:rsidRDefault="005E111B">
      <w:pPr>
        <w:rPr>
          <w:rFonts w:ascii="Times New Roman" w:hAnsi="Times New Roman" w:cs="Times New Roman"/>
          <w:sz w:val="28"/>
          <w:szCs w:val="28"/>
        </w:rPr>
      </w:pPr>
    </w:p>
    <w:sectPr w:rsidR="005E111B" w:rsidRPr="0023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1132"/>
    <w:multiLevelType w:val="multilevel"/>
    <w:tmpl w:val="AAF4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222DB6"/>
    <w:multiLevelType w:val="multilevel"/>
    <w:tmpl w:val="C5C6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D30599"/>
    <w:multiLevelType w:val="multilevel"/>
    <w:tmpl w:val="FE40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AE3F92"/>
    <w:multiLevelType w:val="multilevel"/>
    <w:tmpl w:val="F038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015A54"/>
    <w:multiLevelType w:val="multilevel"/>
    <w:tmpl w:val="1C9C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D84FA0"/>
    <w:multiLevelType w:val="multilevel"/>
    <w:tmpl w:val="C2A2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267932"/>
    <w:multiLevelType w:val="multilevel"/>
    <w:tmpl w:val="8F0E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9919D4"/>
    <w:multiLevelType w:val="multilevel"/>
    <w:tmpl w:val="2C60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26"/>
    <w:rsid w:val="00230226"/>
    <w:rsid w:val="005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2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2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800-2018-%D0%BF" TargetMode="External"/><Relationship Id="rId18" Type="http://schemas.openxmlformats.org/officeDocument/2006/relationships/hyperlink" Target="https://zakon.rada.gov.ua/laws/show/2402-14" TargetMode="External"/><Relationship Id="rId26" Type="http://schemas.openxmlformats.org/officeDocument/2006/relationships/hyperlink" Target="http://www.la-strada.org.ua/" TargetMode="External"/><Relationship Id="rId39" Type="http://schemas.openxmlformats.org/officeDocument/2006/relationships/hyperlink" Target="https://zakon.rada.gov.ua/laws/show/2341-14" TargetMode="External"/><Relationship Id="rId21" Type="http://schemas.openxmlformats.org/officeDocument/2006/relationships/hyperlink" Target="https://wiki.legalaid.gov.ua/index.php/%D0%9F%D0%BE%D0%B7%D0%B1%D0%B0%D0%B2%D0%BB%D0%B5%D0%BD%D0%BD%D1%8F_%D0%B1%D0%B0%D1%82%D1%8C%D0%BA%D1%96%D0%B2%D1%81%D1%8C%D0%BA%D0%B8%D1%85_%D0%BF%D1%80%D0%B0%D0%B2:_%D0%BF%D1%96%D0%B4%D1%81%D1%82%D0%B0%D0%B2%D0%B8_%D1%82%D0%B0_%D0%BF%D0%BE%D1%80%D1%8F%D0%B4%D0%BE%D0%BA_%D1%80%D0%BE%D0%B7%D0%B3%D0%BB%D1%8F%D0%B4%D1%83" TargetMode="External"/><Relationship Id="rId34" Type="http://schemas.openxmlformats.org/officeDocument/2006/relationships/hyperlink" Target="https://zakon.rada.gov.ua/laws/show/80731-10" TargetMode="External"/><Relationship Id="rId42" Type="http://schemas.openxmlformats.org/officeDocument/2006/relationships/hyperlink" Target="https://zakon.rada.gov.ua/laws/show/2341-14" TargetMode="External"/><Relationship Id="rId47" Type="http://schemas.openxmlformats.org/officeDocument/2006/relationships/hyperlink" Target="https://zakon.rada.gov.ua/laws/show/2341-14" TargetMode="External"/><Relationship Id="rId50" Type="http://schemas.openxmlformats.org/officeDocument/2006/relationships/hyperlink" Target="https://zakon.rada.gov.ua/laws/show/2341-14" TargetMode="External"/><Relationship Id="rId55" Type="http://schemas.openxmlformats.org/officeDocument/2006/relationships/hyperlink" Target="https://zakon.rada.gov.ua/laws/show/2341-14" TargetMode="External"/><Relationship Id="rId7" Type="http://schemas.openxmlformats.org/officeDocument/2006/relationships/hyperlink" Target="http://zakon3.rada.gov.ua/laws/show/995_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2402-14" TargetMode="External"/><Relationship Id="rId20" Type="http://schemas.openxmlformats.org/officeDocument/2006/relationships/hyperlink" Target="https://zakon.rada.gov.ua/laws/show/2947-14" TargetMode="External"/><Relationship Id="rId29" Type="http://schemas.openxmlformats.org/officeDocument/2006/relationships/hyperlink" Target="https://zakon.rada.gov.ua/rada/show/v5480729-18" TargetMode="External"/><Relationship Id="rId41" Type="http://schemas.openxmlformats.org/officeDocument/2006/relationships/hyperlink" Target="https://zakon.rada.gov.ua/laws/show/2341-14" TargetMode="External"/><Relationship Id="rId54" Type="http://schemas.openxmlformats.org/officeDocument/2006/relationships/hyperlink" Target="https://zakon.rada.gov.ua/laws/show/2341-14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254%D0%BA/96-%D0%B2%D1%80" TargetMode="External"/><Relationship Id="rId11" Type="http://schemas.openxmlformats.org/officeDocument/2006/relationships/hyperlink" Target="https://zakon.rada.gov.ua/laws/show/994_135" TargetMode="External"/><Relationship Id="rId24" Type="http://schemas.openxmlformats.org/officeDocument/2006/relationships/hyperlink" Target="https://www.kmu.gov.ua/news/sogodni-rozpochala-robotu-garyacha-liniya-dlya-osib-yaki-postrazhdali-vid-domashnogo-nasilstva" TargetMode="External"/><Relationship Id="rId32" Type="http://schemas.openxmlformats.org/officeDocument/2006/relationships/hyperlink" Target="https://zakon.rada.gov.ua/laws/show/80731-10" TargetMode="External"/><Relationship Id="rId37" Type="http://schemas.openxmlformats.org/officeDocument/2006/relationships/hyperlink" Target="https://zakon.rada.gov.ua/laws/show/2341-14" TargetMode="External"/><Relationship Id="rId40" Type="http://schemas.openxmlformats.org/officeDocument/2006/relationships/hyperlink" Target="https://zakon.rada.gov.ua/laws/show/2341-14" TargetMode="External"/><Relationship Id="rId45" Type="http://schemas.openxmlformats.org/officeDocument/2006/relationships/hyperlink" Target="https://zakon.rada.gov.ua/laws/show/2341-14" TargetMode="External"/><Relationship Id="rId53" Type="http://schemas.openxmlformats.org/officeDocument/2006/relationships/hyperlink" Target="https://zakon.rada.gov.ua/laws/show/2341-14" TargetMode="External"/><Relationship Id="rId58" Type="http://schemas.openxmlformats.org/officeDocument/2006/relationships/hyperlink" Target="https://zakon.rada.gov.ua/laws/show/2341-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2402-14" TargetMode="External"/><Relationship Id="rId23" Type="http://schemas.openxmlformats.org/officeDocument/2006/relationships/hyperlink" Target="https://zakon.rada.gov.ua/laws/show/2229-19" TargetMode="External"/><Relationship Id="rId28" Type="http://schemas.openxmlformats.org/officeDocument/2006/relationships/hyperlink" Target="https://zakon.rada.gov.ua/laws/show/2402-14" TargetMode="External"/><Relationship Id="rId36" Type="http://schemas.openxmlformats.org/officeDocument/2006/relationships/hyperlink" Target="https://zakon.rada.gov.ua/laws/show/2341-14" TargetMode="External"/><Relationship Id="rId49" Type="http://schemas.openxmlformats.org/officeDocument/2006/relationships/hyperlink" Target="https://zakon.rada.gov.ua/laws/show/2341-14" TargetMode="External"/><Relationship Id="rId57" Type="http://schemas.openxmlformats.org/officeDocument/2006/relationships/hyperlink" Target="https://zakon.rada.gov.ua/laws/show/2341-14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zakon.rada.gov.ua/laws/show/994_927" TargetMode="External"/><Relationship Id="rId19" Type="http://schemas.openxmlformats.org/officeDocument/2006/relationships/hyperlink" Target="https://zakon.rada.gov.ua/laws/show/2402-14" TargetMode="External"/><Relationship Id="rId31" Type="http://schemas.openxmlformats.org/officeDocument/2006/relationships/hyperlink" Target="https://mon.gov.ua/ua/npa/pro-zatverdzhennya-metodichnih-rekomendacij-shodo-viyavlennya-reaguvannya-na-vipadki-domashnogo-nasilstva-i-vzayemodiyi-pedagogichnih-pracivnikiv-iz-inshimi-organami-ta-sluzhbami" TargetMode="External"/><Relationship Id="rId44" Type="http://schemas.openxmlformats.org/officeDocument/2006/relationships/hyperlink" Target="https://zakon.rada.gov.ua/laws/show/2341-14" TargetMode="External"/><Relationship Id="rId52" Type="http://schemas.openxmlformats.org/officeDocument/2006/relationships/hyperlink" Target="https://zakon.rada.gov.ua/laws/show/2341-14" TargetMode="External"/><Relationship Id="rId60" Type="http://schemas.openxmlformats.org/officeDocument/2006/relationships/hyperlink" Target="https://zakon.rada.gov.ua/laws/show/2341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229-19" TargetMode="External"/><Relationship Id="rId14" Type="http://schemas.openxmlformats.org/officeDocument/2006/relationships/hyperlink" Target="https://zakon.rada.gov.ua/laws/show/z0917-09" TargetMode="External"/><Relationship Id="rId22" Type="http://schemas.openxmlformats.org/officeDocument/2006/relationships/hyperlink" Target="https://wiki.legalaid.gov.ua/index.php/%D0%92%D1%96%D0%B4%D1%96%D0%B1%D1%80%D0%B0%D0%BD%D0%BD%D1%8F_%D0%B4%D0%B8%D1%82%D0%B8%D0%BD%D0%B8_%D0%B2%D1%96%D0%B4_%D0%B1%D0%B0%D1%82%D1%8C%D0%BA%D1%96%D0%B2_%D0%B1%D0%B5%D0%B7_%D0%BF%D0%BE%D0%B7%D0%B1%D0%B0%D0%B2%D0%BB%D0%B5%D0%BD%D0%BD%D1%8F_%D1%97%D1%85_%D0%B1%D0%B0%D1%82%D1%8C%D0%BA%D1%96%D0%B2%D1%81%D1%8C%D0%BA%D0%B8%D1%85_%D0%BF%D1%80%D0%B0%D0%B2" TargetMode="External"/><Relationship Id="rId27" Type="http://schemas.openxmlformats.org/officeDocument/2006/relationships/hyperlink" Target="https://www.legalaid.gov.ua/" TargetMode="External"/><Relationship Id="rId30" Type="http://schemas.openxmlformats.org/officeDocument/2006/relationships/hyperlink" Target="https://zakon.rada.gov.ua/laws/show/z0262-19" TargetMode="External"/><Relationship Id="rId35" Type="http://schemas.openxmlformats.org/officeDocument/2006/relationships/hyperlink" Target="https://zakon.rada.gov.ua/laws/show/2341-14" TargetMode="External"/><Relationship Id="rId43" Type="http://schemas.openxmlformats.org/officeDocument/2006/relationships/hyperlink" Target="https://zakon.rada.gov.ua/laws/show/2341-14" TargetMode="External"/><Relationship Id="rId48" Type="http://schemas.openxmlformats.org/officeDocument/2006/relationships/hyperlink" Target="https://zakon.rada.gov.ua/laws/show/2341-14" TargetMode="External"/><Relationship Id="rId56" Type="http://schemas.openxmlformats.org/officeDocument/2006/relationships/hyperlink" Target="https://zakon.rada.gov.ua/laws/show/2341-14" TargetMode="External"/><Relationship Id="rId8" Type="http://schemas.openxmlformats.org/officeDocument/2006/relationships/hyperlink" Target="http://zakon2.rada.gov.ua/laws/show/2402-14" TargetMode="External"/><Relationship Id="rId51" Type="http://schemas.openxmlformats.org/officeDocument/2006/relationships/hyperlink" Target="https://zakon.rada.gov.ua/laws/show/2341-1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zakon.rada.gov.ua/laws/show/2402-14" TargetMode="External"/><Relationship Id="rId17" Type="http://schemas.openxmlformats.org/officeDocument/2006/relationships/hyperlink" Target="https://zakon.rada.gov.ua/laws/show/435-15/conv" TargetMode="External"/><Relationship Id="rId25" Type="http://schemas.openxmlformats.org/officeDocument/2006/relationships/hyperlink" Target="http://www.la-strada.org.ua/" TargetMode="External"/><Relationship Id="rId33" Type="http://schemas.openxmlformats.org/officeDocument/2006/relationships/hyperlink" Target="https://zakon.rada.gov.ua/laws/show/80731-10" TargetMode="External"/><Relationship Id="rId38" Type="http://schemas.openxmlformats.org/officeDocument/2006/relationships/hyperlink" Target="https://zakon.rada.gov.ua/laws/show/2341-14" TargetMode="External"/><Relationship Id="rId46" Type="http://schemas.openxmlformats.org/officeDocument/2006/relationships/hyperlink" Target="https://zakon.rada.gov.ua/laws/show/2341-14" TargetMode="External"/><Relationship Id="rId59" Type="http://schemas.openxmlformats.org/officeDocument/2006/relationships/hyperlink" Target="https://zakon.rada.gov.ua/laws/show/2341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3124</Words>
  <Characters>17810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2020-12-16T08:56:00Z</dcterms:created>
  <dcterms:modified xsi:type="dcterms:W3CDTF">2020-12-16T08:57:00Z</dcterms:modified>
</cp:coreProperties>
</file>