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C5" w:rsidRDefault="00E10BC5" w:rsidP="00E10BC5">
      <w:pPr>
        <w:rPr>
          <w:lang w:val="uk-UA"/>
        </w:rPr>
      </w:pPr>
    </w:p>
    <w:p w:rsidR="006A6B62" w:rsidRDefault="006A6B62" w:rsidP="006A6B6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Додаток 1</w:t>
      </w:r>
    </w:p>
    <w:p w:rsidR="006A6B62" w:rsidRPr="006A6B62" w:rsidRDefault="006A6B62" w:rsidP="006A6B6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:rsidR="006A6B62" w:rsidRDefault="006A6B62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6B62" w:rsidRDefault="006A6B62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СХВАЛЕНО                                                                           ЗАТВЕРДЖЕНО</w:t>
      </w:r>
    </w:p>
    <w:p w:rsidR="006A6B62" w:rsidRDefault="006A6B62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педагогічною радою                                                наказом від 31.12.2019р. 272-о</w:t>
      </w:r>
    </w:p>
    <w:p w:rsidR="006A6B62" w:rsidRDefault="006A6B62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(протокол № 2 від 26.12.2019р.)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Клеванського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№ 1</w:t>
      </w:r>
    </w:p>
    <w:p w:rsidR="006A6B62" w:rsidRDefault="006A6B62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Директор ліцею:           С.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Фінчук</w:t>
      </w:r>
      <w:proofErr w:type="spellEnd"/>
    </w:p>
    <w:p w:rsidR="006A6B62" w:rsidRDefault="006A6B62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6B62" w:rsidRDefault="006A6B62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6B62" w:rsidRDefault="006A6B62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6B62" w:rsidRDefault="006A6B62" w:rsidP="006A6B62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6A6B62" w:rsidRDefault="006A6B62" w:rsidP="006A6B62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</w:p>
    <w:p w:rsidR="006A6B62" w:rsidRDefault="006A6B62" w:rsidP="006A6B62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proofErr w:type="spellStart"/>
      <w:r>
        <w:rPr>
          <w:rFonts w:ascii="Times New Roman" w:hAnsi="Times New Roman" w:cs="Times New Roman"/>
          <w:sz w:val="72"/>
          <w:szCs w:val="72"/>
        </w:rPr>
        <w:t>Положення</w:t>
      </w:r>
      <w:proofErr w:type="spellEnd"/>
    </w:p>
    <w:p w:rsidR="006A6B62" w:rsidRPr="006A6B62" w:rsidRDefault="006A6B62" w:rsidP="006A6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академічну доброчесність учасників освітнього процесу</w:t>
      </w:r>
    </w:p>
    <w:p w:rsidR="006A6B62" w:rsidRDefault="006A6B62" w:rsidP="006A6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Клеванського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ліцеї № 1</w:t>
      </w:r>
    </w:p>
    <w:p w:rsidR="006A6B62" w:rsidRDefault="006A6B62" w:rsidP="006A6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Клеванської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</w:p>
    <w:p w:rsidR="006A6B62" w:rsidRDefault="006A6B62" w:rsidP="006A6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Рівненського району Рівненської області</w:t>
      </w:r>
    </w:p>
    <w:p w:rsidR="006A6B62" w:rsidRDefault="006A6B62" w:rsidP="006A6B62">
      <w:pPr>
        <w:tabs>
          <w:tab w:val="left" w:pos="9781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6A6B62" w:rsidRDefault="006A6B62" w:rsidP="00E10BC5">
      <w:pPr>
        <w:rPr>
          <w:lang w:val="uk-UA"/>
        </w:rPr>
      </w:pPr>
    </w:p>
    <w:p w:rsidR="006A6B62" w:rsidRDefault="006A6B62" w:rsidP="00E10BC5">
      <w:pPr>
        <w:rPr>
          <w:lang w:val="uk-UA"/>
        </w:rPr>
      </w:pPr>
    </w:p>
    <w:p w:rsidR="006A6B62" w:rsidRDefault="006A6B62" w:rsidP="00E10BC5">
      <w:pPr>
        <w:rPr>
          <w:lang w:val="uk-UA"/>
        </w:rPr>
      </w:pPr>
    </w:p>
    <w:p w:rsidR="006A6B62" w:rsidRDefault="006A6B62" w:rsidP="00E10BC5">
      <w:pPr>
        <w:rPr>
          <w:lang w:val="uk-UA"/>
        </w:rPr>
      </w:pPr>
    </w:p>
    <w:p w:rsidR="006A6B62" w:rsidRDefault="006A6B62" w:rsidP="00E10BC5">
      <w:pPr>
        <w:rPr>
          <w:lang w:val="uk-UA"/>
        </w:rPr>
      </w:pPr>
    </w:p>
    <w:p w:rsidR="006A6B62" w:rsidRDefault="006A6B62" w:rsidP="00E10BC5">
      <w:pPr>
        <w:rPr>
          <w:lang w:val="uk-UA"/>
        </w:rPr>
      </w:pPr>
    </w:p>
    <w:p w:rsidR="006A6B62" w:rsidRDefault="006A6B62" w:rsidP="00E10BC5">
      <w:pPr>
        <w:rPr>
          <w:lang w:val="uk-UA"/>
        </w:rPr>
      </w:pPr>
    </w:p>
    <w:p w:rsidR="006A6B62" w:rsidRDefault="006A6B62" w:rsidP="00E10BC5">
      <w:pPr>
        <w:rPr>
          <w:lang w:val="uk-UA"/>
        </w:rPr>
      </w:pPr>
    </w:p>
    <w:p w:rsidR="006A6B62" w:rsidRDefault="006A6B62" w:rsidP="00E10BC5">
      <w:pPr>
        <w:rPr>
          <w:lang w:val="uk-UA"/>
        </w:rPr>
      </w:pPr>
    </w:p>
    <w:p w:rsidR="006A6B62" w:rsidRDefault="006A6B62" w:rsidP="00E10BC5">
      <w:pPr>
        <w:rPr>
          <w:lang w:val="uk-UA"/>
        </w:rPr>
      </w:pPr>
    </w:p>
    <w:p w:rsidR="006A6B62" w:rsidRDefault="006A6B62" w:rsidP="00E10BC5">
      <w:pPr>
        <w:rPr>
          <w:lang w:val="uk-UA"/>
        </w:rPr>
      </w:pPr>
    </w:p>
    <w:p w:rsidR="006A6B62" w:rsidRDefault="006A6B62" w:rsidP="00E10BC5">
      <w:pPr>
        <w:rPr>
          <w:lang w:val="uk-UA"/>
        </w:rPr>
      </w:pPr>
    </w:p>
    <w:p w:rsidR="006A6B62" w:rsidRDefault="006A6B62" w:rsidP="00E10BC5">
      <w:pPr>
        <w:rPr>
          <w:lang w:val="uk-UA"/>
        </w:rPr>
      </w:pPr>
    </w:p>
    <w:p w:rsidR="006A6B62" w:rsidRDefault="006A6B62" w:rsidP="00E10BC5">
      <w:pPr>
        <w:rPr>
          <w:lang w:val="uk-UA"/>
        </w:rPr>
      </w:pPr>
    </w:p>
    <w:p w:rsidR="006A6B62" w:rsidRDefault="006A6B62" w:rsidP="00E10BC5">
      <w:pPr>
        <w:rPr>
          <w:lang w:val="uk-UA"/>
        </w:rPr>
      </w:pPr>
    </w:p>
    <w:p w:rsidR="006A6B62" w:rsidRPr="006A6B62" w:rsidRDefault="006A6B62" w:rsidP="00E10BC5">
      <w:pPr>
        <w:rPr>
          <w:lang w:val="uk-UA"/>
        </w:rPr>
      </w:pPr>
    </w:p>
    <w:p w:rsidR="00E10BC5" w:rsidRPr="00F45C9B" w:rsidRDefault="00E10BC5" w:rsidP="006A6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F45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BC5" w:rsidRPr="006A6B62" w:rsidRDefault="00E10BC5" w:rsidP="006A6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B62">
        <w:rPr>
          <w:rFonts w:ascii="Times New Roman" w:hAnsi="Times New Roman" w:cs="Times New Roman"/>
          <w:sz w:val="28"/>
          <w:szCs w:val="28"/>
          <w:lang w:val="uk-UA"/>
        </w:rPr>
        <w:t>Клеванського</w:t>
      </w:r>
      <w:proofErr w:type="spellEnd"/>
      <w:r w:rsidR="006A6B62">
        <w:rPr>
          <w:rFonts w:ascii="Times New Roman" w:hAnsi="Times New Roman" w:cs="Times New Roman"/>
          <w:sz w:val="28"/>
          <w:szCs w:val="28"/>
          <w:lang w:val="uk-UA"/>
        </w:rPr>
        <w:t xml:space="preserve"> ліцею № 1 </w:t>
      </w:r>
      <w:proofErr w:type="spellStart"/>
      <w:r w:rsidR="006A6B62">
        <w:rPr>
          <w:rFonts w:ascii="Times New Roman" w:hAnsi="Times New Roman" w:cs="Times New Roman"/>
          <w:sz w:val="28"/>
          <w:szCs w:val="28"/>
          <w:lang w:val="uk-UA"/>
        </w:rPr>
        <w:t>Клеванської</w:t>
      </w:r>
      <w:proofErr w:type="spellEnd"/>
      <w:r w:rsidR="006A6B6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proofErr w:type="gramStart"/>
      <w:r w:rsidR="006A6B62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6A6B62">
        <w:rPr>
          <w:rFonts w:ascii="Times New Roman" w:hAnsi="Times New Roman" w:cs="Times New Roman"/>
          <w:sz w:val="28"/>
          <w:szCs w:val="28"/>
          <w:lang w:val="uk-UA"/>
        </w:rPr>
        <w:t xml:space="preserve">івненського району </w:t>
      </w:r>
      <w:proofErr w:type="spellStart"/>
      <w:r w:rsidR="006A6B62">
        <w:rPr>
          <w:rFonts w:ascii="Times New Roman" w:hAnsi="Times New Roman" w:cs="Times New Roman"/>
          <w:sz w:val="28"/>
          <w:szCs w:val="28"/>
          <w:lang w:val="uk-UA"/>
        </w:rPr>
        <w:t>Рівнекнської</w:t>
      </w:r>
      <w:proofErr w:type="spellEnd"/>
      <w:r w:rsidR="006A6B62">
        <w:rPr>
          <w:rFonts w:ascii="Times New Roman" w:hAnsi="Times New Roman" w:cs="Times New Roman"/>
          <w:sz w:val="28"/>
          <w:szCs w:val="28"/>
          <w:lang w:val="uk-UA"/>
        </w:rPr>
        <w:t xml:space="preserve"> області </w:t>
      </w:r>
      <w:r w:rsidRPr="006A6B62">
        <w:rPr>
          <w:rFonts w:ascii="Times New Roman" w:hAnsi="Times New Roman" w:cs="Times New Roman"/>
          <w:sz w:val="28"/>
          <w:szCs w:val="28"/>
          <w:lang w:val="uk-UA"/>
        </w:rPr>
        <w:t xml:space="preserve"> (далі-Положення) є</w:t>
      </w:r>
      <w:r w:rsidR="006A6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6B62">
        <w:rPr>
          <w:rFonts w:ascii="Times New Roman" w:hAnsi="Times New Roman" w:cs="Times New Roman"/>
          <w:sz w:val="28"/>
          <w:szCs w:val="28"/>
          <w:lang w:val="uk-UA"/>
        </w:rPr>
        <w:t>внутрішнім підзаконним нормативним актом, який спрямований на</w:t>
      </w:r>
      <w:r w:rsidR="006A6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6B62">
        <w:rPr>
          <w:rFonts w:ascii="Times New Roman" w:hAnsi="Times New Roman" w:cs="Times New Roman"/>
          <w:sz w:val="28"/>
          <w:szCs w:val="28"/>
          <w:lang w:val="uk-UA"/>
        </w:rPr>
        <w:t>забезпечення якісних освітніх послуг наданих здобувачам освіти,</w:t>
      </w:r>
      <w:r w:rsidR="006A6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6B62">
        <w:rPr>
          <w:rFonts w:ascii="Times New Roman" w:hAnsi="Times New Roman" w:cs="Times New Roman"/>
          <w:sz w:val="28"/>
          <w:szCs w:val="28"/>
          <w:lang w:val="uk-UA"/>
        </w:rPr>
        <w:t>додержання моральних, правових, етичних норм поведінки всіма учасниками</w:t>
      </w:r>
    </w:p>
    <w:p w:rsidR="00E10BC5" w:rsidRPr="006A6B62" w:rsidRDefault="00E10BC5" w:rsidP="006A6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.</w:t>
      </w:r>
    </w:p>
    <w:p w:rsidR="00E10BC5" w:rsidRPr="006A6B62" w:rsidRDefault="00E10BC5" w:rsidP="00F45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6B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ООН «Про права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»</w:t>
      </w:r>
    </w:p>
    <w:p w:rsidR="00E10BC5" w:rsidRPr="006A6B62" w:rsidRDefault="00E10BC5" w:rsidP="00F45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(1989),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Укра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їни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</w:p>
    <w:p w:rsidR="00E10BC5" w:rsidRPr="006A6B62" w:rsidRDefault="00E10BC5" w:rsidP="00F45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авторські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суміжні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права»</w:t>
      </w:r>
      <w:proofErr w:type="gramStart"/>
      <w:r w:rsidRPr="006A6B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 xml:space="preserve"> статуту закладу, правил</w:t>
      </w:r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.</w:t>
      </w:r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BC5" w:rsidRPr="00F45C9B" w:rsidRDefault="00E10BC5" w:rsidP="006A6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Принципи</w:t>
      </w:r>
      <w:proofErr w:type="spellEnd"/>
      <w:r w:rsidRPr="00F45C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норми</w:t>
      </w:r>
      <w:proofErr w:type="spellEnd"/>
      <w:r w:rsidRPr="00F45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етики</w:t>
      </w:r>
      <w:proofErr w:type="spellEnd"/>
      <w:r w:rsidRPr="00F45C9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академічної</w:t>
      </w:r>
      <w:proofErr w:type="spellEnd"/>
      <w:r w:rsidR="00F45C9B" w:rsidRPr="00F45C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доброчесності</w:t>
      </w:r>
      <w:proofErr w:type="spellEnd"/>
      <w:r w:rsidRPr="00F45C9B">
        <w:rPr>
          <w:rFonts w:ascii="Times New Roman" w:hAnsi="Times New Roman" w:cs="Times New Roman"/>
          <w:b/>
          <w:sz w:val="28"/>
          <w:szCs w:val="28"/>
        </w:rPr>
        <w:t xml:space="preserve"> закладу </w:t>
      </w: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</w:p>
    <w:p w:rsidR="00E10BC5" w:rsidRPr="00F45C9B" w:rsidRDefault="00E10BC5" w:rsidP="006A6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0BC5" w:rsidRPr="006A6B62" w:rsidRDefault="00E10BC5" w:rsidP="00F45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Академічна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та</w:t>
      </w:r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законом правил</w:t>
      </w:r>
      <w:proofErr w:type="gramStart"/>
      <w:r w:rsidRPr="006A6B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керуватися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)</w:t>
      </w:r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,</w:t>
      </w:r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.</w:t>
      </w:r>
    </w:p>
    <w:p w:rsidR="00E10BC5" w:rsidRPr="006A6B62" w:rsidRDefault="00E10BC5" w:rsidP="00F45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ст.42 п. 4 Закону</w:t>
      </w:r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академічний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плагіат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самоплагіат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,</w:t>
      </w:r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фабрикація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фальсифікація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списування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обман,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хабарництво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необ’єктивне</w:t>
      </w:r>
      <w:proofErr w:type="spellEnd"/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.</w:t>
      </w:r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Етика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академічна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забезпечуються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:</w:t>
      </w:r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шляхом:</w:t>
      </w:r>
    </w:p>
    <w:p w:rsidR="00E10BC5" w:rsidRPr="006A6B62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ООН «Про права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>;</w:t>
      </w:r>
    </w:p>
    <w:p w:rsidR="00E10BC5" w:rsidRPr="006A6B62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E10BC5" w:rsidRPr="00F45C9B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="00E10BC5" w:rsidRPr="00F45C9B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 w:rsidR="00E10BC5" w:rsidRPr="00F45C9B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="00E10BC5" w:rsidRPr="00F45C9B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E10BC5" w:rsidRPr="00F45C9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10BC5" w:rsidRPr="00F45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BC5" w:rsidRPr="00F45C9B">
        <w:rPr>
          <w:rFonts w:ascii="Times New Roman" w:hAnsi="Times New Roman" w:cs="Times New Roman"/>
          <w:sz w:val="28"/>
          <w:szCs w:val="28"/>
        </w:rPr>
        <w:t>примноження</w:t>
      </w:r>
      <w:proofErr w:type="spellEnd"/>
      <w:r w:rsidR="00E10BC5" w:rsidRPr="00F4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F45C9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>;</w:t>
      </w:r>
    </w:p>
    <w:p w:rsidR="00E10BC5" w:rsidRPr="00F45C9B" w:rsidRDefault="00F45C9B" w:rsidP="00F45C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9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F45C9B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E10BC5" w:rsidRPr="00F4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F45C9B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="00E10BC5" w:rsidRPr="00F45C9B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="00E10BC5" w:rsidRPr="00F45C9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E10BC5" w:rsidRPr="00F45C9B">
        <w:rPr>
          <w:rFonts w:ascii="Times New Roman" w:hAnsi="Times New Roman" w:cs="Times New Roman"/>
          <w:sz w:val="28"/>
          <w:szCs w:val="28"/>
        </w:rPr>
        <w:t xml:space="preserve"> на засадах партнерства</w:t>
      </w:r>
      <w:r w:rsidRPr="00F4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F45C9B">
        <w:rPr>
          <w:rFonts w:ascii="Times New Roman" w:hAnsi="Times New Roman" w:cs="Times New Roman"/>
          <w:sz w:val="28"/>
          <w:szCs w:val="28"/>
        </w:rPr>
        <w:t>взаємоповаги</w:t>
      </w:r>
      <w:proofErr w:type="spellEnd"/>
      <w:r w:rsidR="00E10BC5" w:rsidRPr="00F45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BC5" w:rsidRPr="00F45C9B">
        <w:rPr>
          <w:rFonts w:ascii="Times New Roman" w:hAnsi="Times New Roman" w:cs="Times New Roman"/>
          <w:sz w:val="28"/>
          <w:szCs w:val="28"/>
        </w:rPr>
        <w:t>толерантності</w:t>
      </w:r>
      <w:proofErr w:type="spellEnd"/>
      <w:r w:rsidR="00E10BC5" w:rsidRPr="00F4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F45C9B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="00E10BC5" w:rsidRPr="00F45C9B">
        <w:rPr>
          <w:rFonts w:ascii="Times New Roman" w:hAnsi="Times New Roman" w:cs="Times New Roman"/>
          <w:sz w:val="28"/>
          <w:szCs w:val="28"/>
        </w:rPr>
        <w:t>;</w:t>
      </w:r>
    </w:p>
    <w:p w:rsidR="00E10BC5" w:rsidRPr="006A6B62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хабарництву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>;</w:t>
      </w:r>
    </w:p>
    <w:p w:rsidR="00E10BC5" w:rsidRPr="006A6B62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>-</w:t>
      </w:r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закладу;</w:t>
      </w:r>
    </w:p>
    <w:p w:rsidR="00E10BC5" w:rsidRPr="006A6B62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6B6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разі</w:t>
      </w:r>
      <w:proofErr w:type="spellEnd"/>
    </w:p>
    <w:p w:rsidR="00F45C9B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тверджень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;</w:t>
      </w:r>
    </w:p>
    <w:p w:rsidR="00E10BC5" w:rsidRPr="006A6B62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норм про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авторські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права;</w:t>
      </w:r>
    </w:p>
    <w:p w:rsidR="00E10BC5" w:rsidRPr="006A6B62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правдивої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</w:p>
    <w:p w:rsidR="00F45C9B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6B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;</w:t>
      </w:r>
    </w:p>
    <w:p w:rsidR="00E10BC5" w:rsidRPr="006A6B62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невідворотності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та в порядку,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іальними</w:t>
      </w:r>
      <w:proofErr w:type="spellEnd"/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6B62">
        <w:rPr>
          <w:rFonts w:ascii="Times New Roman" w:hAnsi="Times New Roman" w:cs="Times New Roman"/>
          <w:sz w:val="28"/>
          <w:szCs w:val="28"/>
        </w:rPr>
        <w:t>законами.</w:t>
      </w:r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2.3.2.здобувачами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шляхом:</w:t>
      </w:r>
    </w:p>
    <w:p w:rsidR="00E10BC5" w:rsidRPr="006A6B62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поточного та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підсумкового</w:t>
      </w:r>
      <w:proofErr w:type="spellEnd"/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контролю без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дозволених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самостійні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, ДПА);</w:t>
      </w:r>
    </w:p>
    <w:p w:rsidR="00E10BC5" w:rsidRPr="006A6B62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особистою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присутністю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викликаних</w:t>
      </w:r>
      <w:proofErr w:type="spellEnd"/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поважними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причинами.</w:t>
      </w:r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2.3.3.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шляхом:</w:t>
      </w:r>
    </w:p>
    <w:p w:rsidR="00E10BC5" w:rsidRPr="006A6B62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практичній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професійній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здобутків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>;</w:t>
      </w:r>
    </w:p>
    <w:p w:rsidR="00E10BC5" w:rsidRPr="006A6B62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обов’язкової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колегіальної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управлінські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;</w:t>
      </w:r>
      <w:r w:rsidR="00F45C9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партій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релігійних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;</w:t>
      </w:r>
    </w:p>
    <w:p w:rsidR="00E10BC5" w:rsidRPr="006A6B62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курсової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>;</w:t>
      </w:r>
    </w:p>
    <w:p w:rsidR="00F45C9B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корпоративної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>;</w:t>
      </w:r>
    </w:p>
    <w:p w:rsidR="00E10BC5" w:rsidRPr="006A6B62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об’єктивного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неупередженого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>;</w:t>
      </w:r>
    </w:p>
    <w:p w:rsidR="00E10BC5" w:rsidRPr="006A6B62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>;</w:t>
      </w:r>
    </w:p>
    <w:p w:rsidR="00E10BC5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BC5" w:rsidRPr="006A6B62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E10BC5" w:rsidRPr="006A6B62">
        <w:rPr>
          <w:rFonts w:ascii="Times New Roman" w:hAnsi="Times New Roman" w:cs="Times New Roman"/>
          <w:sz w:val="28"/>
          <w:szCs w:val="28"/>
        </w:rPr>
        <w:t>.</w:t>
      </w:r>
    </w:p>
    <w:p w:rsidR="00F45C9B" w:rsidRPr="00F45C9B" w:rsidRDefault="00F45C9B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0BC5" w:rsidRPr="00F45C9B" w:rsidRDefault="00E10BC5" w:rsidP="006A6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>ІІІ</w:t>
      </w:r>
      <w:r w:rsidRPr="00F45C9B">
        <w:rPr>
          <w:rFonts w:ascii="Times New Roman" w:hAnsi="Times New Roman" w:cs="Times New Roman"/>
          <w:b/>
          <w:sz w:val="28"/>
          <w:szCs w:val="28"/>
        </w:rPr>
        <w:t xml:space="preserve">. Заходи </w:t>
      </w: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F45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попередження</w:t>
      </w:r>
      <w:proofErr w:type="spellEnd"/>
      <w:r w:rsidRPr="00F45C9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виявлення</w:t>
      </w:r>
      <w:proofErr w:type="spellEnd"/>
      <w:r w:rsidRPr="00F45C9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встановлення</w:t>
      </w:r>
      <w:proofErr w:type="spellEnd"/>
      <w:r w:rsidRPr="00F45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факті</w:t>
      </w:r>
      <w:proofErr w:type="gramStart"/>
      <w:r w:rsidRPr="00F45C9B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E10BC5" w:rsidRPr="00F45C9B" w:rsidRDefault="00E10BC5" w:rsidP="006A6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порушення</w:t>
      </w:r>
      <w:proofErr w:type="spellEnd"/>
      <w:r w:rsidRPr="00F45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етики</w:t>
      </w:r>
      <w:proofErr w:type="spellEnd"/>
      <w:r w:rsidRPr="00F45C9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академічної</w:t>
      </w:r>
      <w:proofErr w:type="spellEnd"/>
      <w:r w:rsidRPr="00F45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5C9B">
        <w:rPr>
          <w:rFonts w:ascii="Times New Roman" w:hAnsi="Times New Roman" w:cs="Times New Roman"/>
          <w:b/>
          <w:sz w:val="28"/>
          <w:szCs w:val="28"/>
        </w:rPr>
        <w:t>доброчесності</w:t>
      </w:r>
      <w:proofErr w:type="spellEnd"/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3.1. При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прийомі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на роботу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знайомиться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ід</w:t>
      </w:r>
      <w:proofErr w:type="spellEnd"/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розписку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6B62">
        <w:rPr>
          <w:rFonts w:ascii="Times New Roman" w:hAnsi="Times New Roman" w:cs="Times New Roman"/>
          <w:sz w:val="28"/>
          <w:szCs w:val="28"/>
        </w:rPr>
        <w:t>закладу.</w:t>
      </w:r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доводиться до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r w:rsidR="00B667D7">
        <w:rPr>
          <w:rFonts w:ascii="Times New Roman" w:hAnsi="Times New Roman" w:cs="Times New Roman"/>
          <w:sz w:val="28"/>
          <w:szCs w:val="28"/>
          <w:lang w:val="uk-UA"/>
        </w:rPr>
        <w:t>зборах,</w:t>
      </w:r>
      <w:r w:rsidRPr="006A6B6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також</w:t>
      </w:r>
      <w:proofErr w:type="spellEnd"/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оприлюднюється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на сайті закладу.</w:t>
      </w:r>
    </w:p>
    <w:p w:rsidR="00E10BC5" w:rsidRPr="00F45C9B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3.3. Заступник директора закладу,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роботу:</w:t>
      </w:r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6B62">
        <w:rPr>
          <w:rFonts w:ascii="Times New Roman" w:hAnsi="Times New Roman" w:cs="Times New Roman"/>
          <w:sz w:val="28"/>
          <w:szCs w:val="28"/>
        </w:rPr>
        <w:t xml:space="preserve">шляхом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практикумів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колективних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форм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ними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публікацій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ізного</w:t>
      </w:r>
      <w:proofErr w:type="spellEnd"/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;</w:t>
      </w:r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рецензування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на</w:t>
      </w:r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ізного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рекомендує</w:t>
      </w:r>
      <w:proofErr w:type="spellEnd"/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сервіси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безкоштовної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антиплагіат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.</w:t>
      </w:r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,</w:t>
      </w:r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дотримуються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умов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,</w:t>
      </w:r>
      <w:r w:rsidR="00F45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роз’яснювальну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етичної</w:t>
      </w:r>
      <w:proofErr w:type="spellEnd"/>
      <w:r w:rsidR="00B66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неприпустимості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B66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6B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плагіат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цитування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="00B66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списування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).</w:t>
      </w:r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3.5. Для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за</w:t>
      </w:r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списуванння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Шкільна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списування</w:t>
      </w:r>
      <w:proofErr w:type="spellEnd"/>
      <w:r w:rsidR="00B66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A6B6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-</w:t>
      </w:r>
    </w:p>
    <w:p w:rsidR="00E10BC5" w:rsidRPr="00B667D7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предметника,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.</w:t>
      </w:r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3.6.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6A6B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6A6B62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6A6B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списування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щодо</w:t>
      </w:r>
      <w:proofErr w:type="spellEnd"/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повторне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компонента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="00B66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здобувача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.</w:t>
      </w:r>
    </w:p>
    <w:p w:rsidR="00E10BC5" w:rsidRPr="00B667D7" w:rsidRDefault="00E10BC5" w:rsidP="006A6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7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B667D7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Pr="00B66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7D7">
        <w:rPr>
          <w:rFonts w:ascii="Times New Roman" w:hAnsi="Times New Roman" w:cs="Times New Roman"/>
          <w:b/>
          <w:sz w:val="28"/>
          <w:szCs w:val="28"/>
        </w:rPr>
        <w:t>відповідальності</w:t>
      </w:r>
      <w:proofErr w:type="spellEnd"/>
    </w:p>
    <w:p w:rsidR="00E10BC5" w:rsidRPr="00B667D7" w:rsidRDefault="00E10BC5" w:rsidP="006A6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7D7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Pr="00B667D7">
        <w:rPr>
          <w:rFonts w:ascii="Times New Roman" w:hAnsi="Times New Roman" w:cs="Times New Roman"/>
          <w:b/>
          <w:sz w:val="28"/>
          <w:szCs w:val="28"/>
        </w:rPr>
        <w:t>порушення</w:t>
      </w:r>
      <w:proofErr w:type="spellEnd"/>
      <w:r w:rsidRPr="00B66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7D7">
        <w:rPr>
          <w:rFonts w:ascii="Times New Roman" w:hAnsi="Times New Roman" w:cs="Times New Roman"/>
          <w:b/>
          <w:sz w:val="28"/>
          <w:szCs w:val="28"/>
        </w:rPr>
        <w:t>академічної</w:t>
      </w:r>
      <w:proofErr w:type="spellEnd"/>
      <w:r w:rsidRPr="00B66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7D7">
        <w:rPr>
          <w:rFonts w:ascii="Times New Roman" w:hAnsi="Times New Roman" w:cs="Times New Roman"/>
          <w:b/>
          <w:sz w:val="28"/>
          <w:szCs w:val="28"/>
        </w:rPr>
        <w:t>доброчесності</w:t>
      </w:r>
      <w:proofErr w:type="spellEnd"/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конкретне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доброчинності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внутрішнє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="00B66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6B62">
        <w:rPr>
          <w:rFonts w:ascii="Times New Roman" w:hAnsi="Times New Roman" w:cs="Times New Roman"/>
          <w:sz w:val="28"/>
          <w:szCs w:val="28"/>
        </w:rPr>
        <w:t xml:space="preserve">закладу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.</w:t>
      </w:r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CellMar>
          <w:top w:w="113" w:type="dxa"/>
        </w:tblCellMar>
        <w:tblLook w:val="04A0"/>
      </w:tblPr>
      <w:tblGrid>
        <w:gridCol w:w="1767"/>
        <w:gridCol w:w="1923"/>
        <w:gridCol w:w="1969"/>
        <w:gridCol w:w="2216"/>
        <w:gridCol w:w="2264"/>
      </w:tblGrid>
      <w:tr w:rsidR="009A072B" w:rsidRPr="008D3419" w:rsidTr="00EF1C87">
        <w:tc>
          <w:tcPr>
            <w:tcW w:w="1568" w:type="dxa"/>
          </w:tcPr>
          <w:p w:rsidR="009A072B" w:rsidRPr="008D3419" w:rsidRDefault="009A072B" w:rsidP="00EF1C87">
            <w:pPr>
              <w:pStyle w:val="20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bookmarkStart w:id="0" w:name="_GoBack"/>
            <w:r w:rsidRPr="008D3419">
              <w:rPr>
                <w:rStyle w:val="2105pt"/>
                <w:sz w:val="24"/>
                <w:szCs w:val="24"/>
              </w:rPr>
              <w:t>Порушення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05pt"/>
                <w:sz w:val="24"/>
                <w:szCs w:val="24"/>
              </w:rPr>
              <w:t>академічної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05pt"/>
                <w:sz w:val="24"/>
                <w:szCs w:val="24"/>
              </w:rPr>
              <w:t>доброчесності</w:t>
            </w:r>
          </w:p>
        </w:tc>
        <w:tc>
          <w:tcPr>
            <w:tcW w:w="1984" w:type="dxa"/>
          </w:tcPr>
          <w:p w:rsidR="009A072B" w:rsidRPr="008D3419" w:rsidRDefault="009A072B" w:rsidP="00EF1C87">
            <w:pPr>
              <w:pStyle w:val="20"/>
              <w:shd w:val="clear" w:color="auto" w:fill="auto"/>
              <w:spacing w:after="120" w:line="210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05pt"/>
                <w:sz w:val="24"/>
                <w:szCs w:val="24"/>
              </w:rPr>
              <w:t>Суб’єкти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spacing w:before="120" w:line="210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05pt"/>
                <w:sz w:val="24"/>
                <w:szCs w:val="24"/>
              </w:rPr>
              <w:t>порушення</w:t>
            </w:r>
          </w:p>
        </w:tc>
        <w:tc>
          <w:tcPr>
            <w:tcW w:w="1989" w:type="dxa"/>
          </w:tcPr>
          <w:p w:rsidR="009A072B" w:rsidRPr="008D3419" w:rsidRDefault="009A072B" w:rsidP="00EF1C87">
            <w:pPr>
              <w:pStyle w:val="20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05pt"/>
                <w:sz w:val="24"/>
                <w:szCs w:val="24"/>
              </w:rPr>
              <w:t>Обставини та умови порушення академічної доброчесності</w:t>
            </w:r>
          </w:p>
        </w:tc>
        <w:tc>
          <w:tcPr>
            <w:tcW w:w="1789" w:type="dxa"/>
          </w:tcPr>
          <w:p w:rsidR="009A072B" w:rsidRPr="008D3419" w:rsidRDefault="009A072B" w:rsidP="00EF1C87">
            <w:pPr>
              <w:pStyle w:val="20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05pt"/>
                <w:sz w:val="24"/>
                <w:szCs w:val="24"/>
              </w:rPr>
              <w:t>Наслідки і форма відповідальності</w:t>
            </w:r>
          </w:p>
        </w:tc>
        <w:tc>
          <w:tcPr>
            <w:tcW w:w="2299" w:type="dxa"/>
          </w:tcPr>
          <w:p w:rsidR="009A072B" w:rsidRPr="008D3419" w:rsidRDefault="009A072B" w:rsidP="00EF1C87">
            <w:pPr>
              <w:pStyle w:val="20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05pt"/>
                <w:sz w:val="24"/>
                <w:szCs w:val="24"/>
              </w:rPr>
              <w:t>Орган /посадова особа, який приймає рішення про призначення виду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05pt"/>
                <w:sz w:val="24"/>
                <w:szCs w:val="24"/>
              </w:rPr>
              <w:t>відповідальності</w:t>
            </w:r>
          </w:p>
        </w:tc>
      </w:tr>
      <w:tr w:rsidR="009A072B" w:rsidRPr="008D3419" w:rsidTr="009A072B">
        <w:trPr>
          <w:trHeight w:val="3324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72B" w:rsidRDefault="009A072B" w:rsidP="00EF1C87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"/>
                <w:b w:val="0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Спису</w:t>
            </w:r>
            <w:r w:rsidRPr="008D3419">
              <w:rPr>
                <w:rStyle w:val="210pt"/>
                <w:sz w:val="24"/>
                <w:szCs w:val="24"/>
              </w:rPr>
              <w:t>вання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after="240" w:line="760" w:lineRule="exact"/>
              <w:ind w:right="240"/>
              <w:jc w:val="center"/>
              <w:rPr>
                <w:sz w:val="24"/>
                <w:szCs w:val="24"/>
              </w:rPr>
            </w:pPr>
          </w:p>
          <w:p w:rsidR="009A072B" w:rsidRPr="008D3419" w:rsidRDefault="009A072B" w:rsidP="00EF1C87">
            <w:pPr>
              <w:pStyle w:val="20"/>
              <w:shd w:val="clear" w:color="auto" w:fill="auto"/>
              <w:spacing w:before="24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Здобувач</w:t>
            </w:r>
            <w:r w:rsidRPr="008D3419">
              <w:rPr>
                <w:rStyle w:val="210pt"/>
                <w:sz w:val="24"/>
                <w:szCs w:val="24"/>
              </w:rPr>
              <w:t>і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0pt"/>
                <w:sz w:val="24"/>
                <w:szCs w:val="24"/>
              </w:rPr>
              <w:t>освіти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72B" w:rsidRPr="008D3419" w:rsidRDefault="009A072B" w:rsidP="009A072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1pt"/>
                <w:sz w:val="24"/>
                <w:szCs w:val="24"/>
              </w:rPr>
              <w:t>самостійні роботи;</w:t>
            </w:r>
          </w:p>
          <w:p w:rsidR="009A072B" w:rsidRPr="008D3419" w:rsidRDefault="009A072B" w:rsidP="009A072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1pt"/>
                <w:sz w:val="24"/>
                <w:szCs w:val="24"/>
              </w:rPr>
              <w:t>контрольні роботи;</w:t>
            </w:r>
          </w:p>
          <w:p w:rsidR="009A072B" w:rsidRPr="008D3419" w:rsidRDefault="009A072B" w:rsidP="009A072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1pt"/>
                <w:sz w:val="24"/>
                <w:szCs w:val="24"/>
              </w:rPr>
              <w:t>контрольні зрізи знань;</w:t>
            </w:r>
          </w:p>
          <w:p w:rsidR="009A072B" w:rsidRPr="008D3419" w:rsidRDefault="009A072B" w:rsidP="009A072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1pt"/>
                <w:sz w:val="24"/>
                <w:szCs w:val="24"/>
              </w:rPr>
              <w:t>річне оцінювання (для екстернів)</w:t>
            </w:r>
          </w:p>
          <w:p w:rsidR="009A072B" w:rsidRPr="008D3419" w:rsidRDefault="009A072B" w:rsidP="009A072B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line="264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1pt"/>
                <w:sz w:val="24"/>
                <w:szCs w:val="24"/>
              </w:rPr>
              <w:t>моніторинги якості знань</w:t>
            </w:r>
          </w:p>
          <w:p w:rsidR="009A072B" w:rsidRPr="008D3419" w:rsidRDefault="009A072B" w:rsidP="00EF1C87">
            <w:pPr>
              <w:pStyle w:val="20"/>
              <w:tabs>
                <w:tab w:val="left" w:pos="134"/>
              </w:tabs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1pt"/>
                <w:sz w:val="24"/>
                <w:szCs w:val="24"/>
              </w:rPr>
              <w:t>Повторне письмове проходження оцінювання Термін-1 тиждень або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"/>
                <w:sz w:val="24"/>
                <w:szCs w:val="24"/>
              </w:rPr>
            </w:pPr>
            <w:r w:rsidRPr="008D3419">
              <w:rPr>
                <w:rStyle w:val="211pt"/>
                <w:sz w:val="24"/>
                <w:szCs w:val="24"/>
              </w:rPr>
              <w:t>повторне проходження відповідного освітнього компонента освітньої програми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after="1620" w:line="264" w:lineRule="exact"/>
              <w:jc w:val="center"/>
              <w:rPr>
                <w:sz w:val="24"/>
                <w:szCs w:val="24"/>
              </w:rPr>
            </w:pPr>
            <w:proofErr w:type="spellStart"/>
            <w:r w:rsidRPr="008D3419">
              <w:rPr>
                <w:rStyle w:val="211pt"/>
                <w:sz w:val="24"/>
                <w:szCs w:val="24"/>
              </w:rPr>
              <w:t>Учителі-</w:t>
            </w:r>
            <w:proofErr w:type="spellEnd"/>
            <w:r w:rsidRPr="008D3419"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 w:rsidRPr="008D3419">
              <w:rPr>
                <w:rStyle w:val="211pt"/>
                <w:sz w:val="24"/>
                <w:szCs w:val="24"/>
              </w:rPr>
              <w:t>предметники</w:t>
            </w:r>
            <w:proofErr w:type="spellEnd"/>
          </w:p>
          <w:p w:rsidR="009A072B" w:rsidRPr="008D3419" w:rsidRDefault="009A072B" w:rsidP="00EF1C87">
            <w:pPr>
              <w:pStyle w:val="20"/>
              <w:shd w:val="clear" w:color="auto" w:fill="auto"/>
              <w:tabs>
                <w:tab w:val="left" w:leader="underscore" w:pos="2093"/>
              </w:tabs>
              <w:spacing w:before="162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A072B" w:rsidRPr="008D3419" w:rsidTr="009A072B">
        <w:trPr>
          <w:trHeight w:val="2751"/>
        </w:trPr>
        <w:tc>
          <w:tcPr>
            <w:tcW w:w="1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after="240" w:line="760" w:lineRule="exact"/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72B" w:rsidRPr="008D3419" w:rsidRDefault="009A072B" w:rsidP="009A072B">
            <w:pPr>
              <w:pStyle w:val="20"/>
              <w:shd w:val="clear" w:color="auto" w:fill="auto"/>
              <w:spacing w:after="138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D3419">
              <w:rPr>
                <w:rStyle w:val="211pt"/>
                <w:sz w:val="24"/>
                <w:szCs w:val="24"/>
              </w:rPr>
              <w:t>-екзамен</w:t>
            </w:r>
            <w:proofErr w:type="spellEnd"/>
            <w:r w:rsidRPr="008D3419">
              <w:rPr>
                <w:rStyle w:val="211pt"/>
                <w:sz w:val="24"/>
                <w:szCs w:val="24"/>
              </w:rPr>
              <w:t xml:space="preserve"> (ДПА);</w:t>
            </w:r>
          </w:p>
          <w:p w:rsidR="009A072B" w:rsidRPr="008D3419" w:rsidRDefault="009A072B" w:rsidP="009A072B">
            <w:pPr>
              <w:pStyle w:val="20"/>
              <w:shd w:val="clear" w:color="auto" w:fill="auto"/>
              <w:tabs>
                <w:tab w:val="left" w:pos="134"/>
              </w:tabs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8D3419">
              <w:rPr>
                <w:rStyle w:val="211pt"/>
                <w:sz w:val="24"/>
                <w:szCs w:val="24"/>
              </w:rPr>
              <w:t>- річне оцінювання (для екстернів)</w:t>
            </w:r>
          </w:p>
        </w:tc>
        <w:tc>
          <w:tcPr>
            <w:tcW w:w="1789" w:type="dxa"/>
            <w:tcBorders>
              <w:left w:val="single" w:sz="4" w:space="0" w:color="auto"/>
            </w:tcBorders>
            <w:shd w:val="clear" w:color="auto" w:fill="FFFFFF"/>
          </w:tcPr>
          <w:p w:rsidR="009A072B" w:rsidRPr="008D3419" w:rsidRDefault="009A072B" w:rsidP="009A072B">
            <w:pPr>
              <w:pStyle w:val="20"/>
              <w:shd w:val="clear" w:color="auto" w:fill="auto"/>
              <w:spacing w:after="480" w:line="240" w:lineRule="auto"/>
              <w:jc w:val="center"/>
              <w:rPr>
                <w:sz w:val="24"/>
                <w:szCs w:val="24"/>
              </w:rPr>
            </w:pPr>
            <w:r w:rsidRPr="008D3419">
              <w:rPr>
                <w:rStyle w:val="211pt"/>
                <w:sz w:val="24"/>
                <w:szCs w:val="24"/>
              </w:rPr>
              <w:t>Повторне проходження оцінювання за графіком проведення ДПА у закладі</w:t>
            </w:r>
          </w:p>
          <w:p w:rsidR="009A072B" w:rsidRPr="008D3419" w:rsidRDefault="009A072B" w:rsidP="009A072B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8D3419">
              <w:rPr>
                <w:rStyle w:val="211pt"/>
                <w:sz w:val="24"/>
                <w:szCs w:val="24"/>
              </w:rPr>
              <w:t>Не зарахування результатів</w:t>
            </w:r>
          </w:p>
        </w:tc>
        <w:tc>
          <w:tcPr>
            <w:tcW w:w="2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72B" w:rsidRPr="008D3419" w:rsidRDefault="009A072B" w:rsidP="009A072B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8D3419">
              <w:rPr>
                <w:rStyle w:val="211pt"/>
                <w:sz w:val="24"/>
                <w:szCs w:val="24"/>
              </w:rPr>
              <w:t>Атестаційна</w:t>
            </w:r>
          </w:p>
          <w:p w:rsidR="009A072B" w:rsidRPr="008D3419" w:rsidRDefault="009A072B" w:rsidP="009A072B">
            <w:pPr>
              <w:pStyle w:val="20"/>
              <w:shd w:val="clear" w:color="auto" w:fill="auto"/>
              <w:spacing w:after="162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8D3419">
              <w:rPr>
                <w:rStyle w:val="211pt"/>
                <w:sz w:val="24"/>
                <w:szCs w:val="24"/>
              </w:rPr>
              <w:t>комісія</w:t>
            </w:r>
          </w:p>
        </w:tc>
      </w:tr>
      <w:tr w:rsidR="009A072B" w:rsidRPr="008D3419" w:rsidTr="00EF1C87">
        <w:trPr>
          <w:trHeight w:val="1610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after="240" w:line="760" w:lineRule="exact"/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after="1380" w:line="220" w:lineRule="exact"/>
              <w:jc w:val="center"/>
              <w:rPr>
                <w:rStyle w:val="211pt"/>
                <w:sz w:val="24"/>
                <w:szCs w:val="24"/>
              </w:rPr>
            </w:pPr>
            <w:r w:rsidRPr="008D3419">
              <w:rPr>
                <w:rStyle w:val="211pt"/>
                <w:sz w:val="24"/>
                <w:szCs w:val="24"/>
              </w:rPr>
              <w:t>-І етап( шкільний) Всеукраїнських учнівських олімпіад, конкурсів;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1pt"/>
                <w:sz w:val="24"/>
                <w:szCs w:val="24"/>
              </w:rPr>
              <w:t>Робота учасника анулюється, не оцінюється.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"/>
                <w:sz w:val="24"/>
                <w:szCs w:val="24"/>
              </w:rPr>
            </w:pPr>
            <w:r w:rsidRPr="008D3419">
              <w:rPr>
                <w:rStyle w:val="211pt"/>
                <w:sz w:val="24"/>
                <w:szCs w:val="24"/>
              </w:rPr>
              <w:t>У разі повторних випадків списування учасник не допускається до участі в інших олімпіадах, конкурсах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after="1620" w:line="264" w:lineRule="exact"/>
              <w:jc w:val="center"/>
              <w:rPr>
                <w:rStyle w:val="211pt"/>
                <w:sz w:val="24"/>
                <w:szCs w:val="24"/>
              </w:rPr>
            </w:pPr>
            <w:r w:rsidRPr="008D3419">
              <w:rPr>
                <w:rStyle w:val="211pt"/>
                <w:sz w:val="24"/>
                <w:szCs w:val="24"/>
              </w:rPr>
              <w:t>Оргкомітет, журі</w:t>
            </w:r>
          </w:p>
        </w:tc>
      </w:tr>
      <w:tr w:rsidR="009A072B" w:rsidRPr="009A072B" w:rsidTr="00EF1C8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Необ’єктивне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результатів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"/>
                <w:b w:val="0"/>
                <w:sz w:val="24"/>
                <w:szCs w:val="24"/>
              </w:rPr>
            </w:pPr>
            <w:r w:rsidRPr="008D3419">
              <w:rPr>
                <w:rStyle w:val="210pt"/>
                <w:sz w:val="24"/>
                <w:szCs w:val="24"/>
              </w:rPr>
              <w:t>Педагогічні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8D3419">
              <w:rPr>
                <w:rStyle w:val="210pt"/>
                <w:sz w:val="24"/>
                <w:szCs w:val="24"/>
              </w:rPr>
              <w:t>працівники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Свідоме завищення або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заниження оцінки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результатів навчання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-усні</w:t>
            </w:r>
            <w:proofErr w:type="spellEnd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відповіді;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-домашні</w:t>
            </w:r>
            <w:proofErr w:type="spellEnd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 роботи;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-контрольні</w:t>
            </w:r>
            <w:proofErr w:type="spellEnd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 роботи;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-лабораторні</w:t>
            </w:r>
            <w:proofErr w:type="spellEnd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практичні роботи;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-ДПА;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-тематичне</w:t>
            </w:r>
            <w:proofErr w:type="spellEnd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оцінювання;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 моніторинги;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-олімпіадні</w:t>
            </w:r>
            <w:proofErr w:type="spellEnd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 та конкурсні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Педагогічному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працівнику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рекомендується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опрацювати критерії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оцінювання знань.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Факти </w:t>
            </w:r>
            <w:r w:rsidRPr="008D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систематичних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порушень враховуються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при встановленні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кваліфікаційної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категорії, присвоєнні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педагогічних звань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Адміністрація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закладу,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атестаційні комісії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усіх рівнів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spacing w:after="1620" w:line="264" w:lineRule="exact"/>
              <w:jc w:val="center"/>
              <w:rPr>
                <w:rStyle w:val="211pt"/>
                <w:sz w:val="24"/>
                <w:szCs w:val="24"/>
              </w:rPr>
            </w:pPr>
          </w:p>
        </w:tc>
      </w:tr>
      <w:tr w:rsidR="009A072B" w:rsidRPr="008D3419" w:rsidTr="00EF1C87">
        <w:trPr>
          <w:trHeight w:val="848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Обман: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Фальсифікація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spacing w:line="200" w:lineRule="exact"/>
              <w:jc w:val="center"/>
              <w:rPr>
                <w:rStyle w:val="210pt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Педагогічні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як автори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2B" w:rsidRPr="008D3419" w:rsidRDefault="009A072B" w:rsidP="00EF1C87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Навчально-методичні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освітні продукти,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створені педагогічними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працівниками: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-методичні</w:t>
            </w:r>
            <w:proofErr w:type="spellEnd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рекомендації;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-навчальний</w:t>
            </w:r>
            <w:proofErr w:type="spellEnd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 посібник;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-навчально-методичний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посібник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-наочний</w:t>
            </w:r>
            <w:proofErr w:type="spellEnd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 посібник;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-практичний</w:t>
            </w:r>
            <w:proofErr w:type="spellEnd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 посібник;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-навчальний</w:t>
            </w:r>
            <w:proofErr w:type="spellEnd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 наочний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посібник;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-збірка</w:t>
            </w:r>
            <w:proofErr w:type="spellEnd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-методична</w:t>
            </w:r>
            <w:proofErr w:type="spellEnd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 збірка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-методичний</w:t>
            </w:r>
            <w:proofErr w:type="spellEnd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 вісник;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-стаття</w:t>
            </w:r>
            <w:proofErr w:type="spellEnd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-методична</w:t>
            </w:r>
            <w:proofErr w:type="spellEnd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 розробка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У випадку встановлення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порушень такого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порядку: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А)спотворене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представлення у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методичних розробках,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публікаціях чужих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розробок, ідей, синтезу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або компіляції чужих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джерел, використання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Інтернету без посилань,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фальсифікація наукових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досліджень, неправдива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інформація про власну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освітню діяльність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є підставою для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відмови в присвоєнні</w:t>
            </w:r>
          </w:p>
          <w:p w:rsidR="009A072B" w:rsidRPr="008D3419" w:rsidRDefault="009A072B" w:rsidP="00EF1C87">
            <w:pPr>
              <w:pStyle w:val="3"/>
              <w:shd w:val="clear" w:color="auto" w:fill="auto"/>
              <w:jc w:val="center"/>
              <w:rPr>
                <w:sz w:val="24"/>
                <w:szCs w:val="24"/>
              </w:rPr>
            </w:pPr>
            <w:r w:rsidRPr="008D3419">
              <w:rPr>
                <w:sz w:val="24"/>
                <w:szCs w:val="24"/>
              </w:rPr>
              <w:t xml:space="preserve">або позбавлені </w:t>
            </w:r>
            <w:proofErr w:type="spellStart"/>
            <w:r w:rsidRPr="008D3419">
              <w:rPr>
                <w:sz w:val="24"/>
                <w:szCs w:val="24"/>
              </w:rPr>
              <w:t>раніше</w:t>
            </w:r>
            <w:r w:rsidRPr="008D3419">
              <w:rPr>
                <w:color w:val="000000"/>
                <w:sz w:val="24"/>
                <w:szCs w:val="24"/>
                <w:lang w:eastAsia="uk-UA" w:bidi="uk-UA"/>
              </w:rPr>
              <w:t>присвоєного</w:t>
            </w:r>
            <w:proofErr w:type="spellEnd"/>
            <w:r w:rsidRPr="008D3419">
              <w:rPr>
                <w:color w:val="000000"/>
                <w:sz w:val="24"/>
                <w:szCs w:val="24"/>
                <w:lang w:eastAsia="uk-UA" w:bidi="uk-UA"/>
              </w:rPr>
              <w:t xml:space="preserve"> педагогічного звання, кваліфікаційної категорії</w:t>
            </w:r>
          </w:p>
          <w:p w:rsidR="009A072B" w:rsidRPr="008D3419" w:rsidRDefault="009A072B" w:rsidP="00EF1C87">
            <w:pPr>
              <w:pStyle w:val="3"/>
              <w:shd w:val="clear" w:color="auto" w:fill="auto"/>
              <w:jc w:val="center"/>
              <w:rPr>
                <w:sz w:val="24"/>
                <w:szCs w:val="24"/>
              </w:rPr>
            </w:pPr>
            <w:r w:rsidRPr="008D3419">
              <w:rPr>
                <w:color w:val="000000"/>
                <w:sz w:val="24"/>
                <w:szCs w:val="24"/>
                <w:lang w:eastAsia="uk-UA" w:bidi="uk-UA"/>
              </w:rPr>
              <w:t xml:space="preserve">Б) в разі встановлення в атестаційний період фактів списування </w:t>
            </w:r>
            <w:r w:rsidRPr="008D3419"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здобувачами під час контрольних зрізів знань, фальсифікації результатів власної педагогічної діяльності позбавлення педагогічного працівника І,ІІ кваліфікаційної категорії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2B" w:rsidRPr="008D3419" w:rsidRDefault="009A072B" w:rsidP="00EF1C87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Педагогічна та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методичні ради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 xml:space="preserve">закладу, </w:t>
            </w:r>
            <w:proofErr w:type="spellStart"/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науково-</w:t>
            </w:r>
            <w:proofErr w:type="spellEnd"/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методична рада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методичного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кабінету,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атестаційні комісії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(закладу освіти.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міська)</w:t>
            </w:r>
          </w:p>
          <w:p w:rsidR="009A072B" w:rsidRPr="008D3419" w:rsidRDefault="009A072B" w:rsidP="00EF1C87">
            <w:pPr>
              <w:pStyle w:val="20"/>
              <w:shd w:val="clear" w:color="auto" w:fill="auto"/>
              <w:spacing w:after="1620" w:line="264" w:lineRule="exact"/>
              <w:jc w:val="center"/>
              <w:rPr>
                <w:rStyle w:val="211pt"/>
                <w:sz w:val="24"/>
                <w:szCs w:val="24"/>
              </w:rPr>
            </w:pPr>
          </w:p>
        </w:tc>
      </w:tr>
      <w:tr w:rsidR="009A072B" w:rsidRPr="008D3419" w:rsidTr="00EF1C87">
        <w:trPr>
          <w:trHeight w:val="846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Фабрикація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after="1620" w:line="264" w:lineRule="exact"/>
              <w:jc w:val="center"/>
              <w:rPr>
                <w:rStyle w:val="211pt"/>
                <w:sz w:val="24"/>
                <w:szCs w:val="24"/>
              </w:rPr>
            </w:pPr>
          </w:p>
        </w:tc>
      </w:tr>
      <w:tr w:rsidR="009A072B" w:rsidRPr="008D3419" w:rsidTr="00EF1C87">
        <w:trPr>
          <w:trHeight w:val="846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19">
              <w:rPr>
                <w:rFonts w:ascii="Times New Roman" w:hAnsi="Times New Roman" w:cs="Times New Roman"/>
                <w:sz w:val="24"/>
                <w:szCs w:val="24"/>
              </w:rPr>
              <w:t>Плагіат</w:t>
            </w:r>
          </w:p>
          <w:p w:rsidR="009A072B" w:rsidRPr="008D3419" w:rsidRDefault="009A072B" w:rsidP="00EF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tabs>
                <w:tab w:val="left" w:pos="134"/>
              </w:tabs>
              <w:spacing w:line="264" w:lineRule="exact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72B" w:rsidRPr="008D3419" w:rsidRDefault="009A072B" w:rsidP="00EF1C87">
            <w:pPr>
              <w:pStyle w:val="20"/>
              <w:shd w:val="clear" w:color="auto" w:fill="auto"/>
              <w:spacing w:after="1620" w:line="264" w:lineRule="exact"/>
              <w:jc w:val="center"/>
              <w:rPr>
                <w:rStyle w:val="211pt"/>
                <w:sz w:val="24"/>
                <w:szCs w:val="24"/>
              </w:rPr>
            </w:pPr>
          </w:p>
        </w:tc>
      </w:tr>
    </w:tbl>
    <w:bookmarkEnd w:id="0"/>
    <w:p w:rsidR="00E10BC5" w:rsidRPr="009A072B" w:rsidRDefault="009A072B" w:rsidP="009A072B">
      <w:pPr>
        <w:rPr>
          <w:lang w:val="uk-UA"/>
        </w:rPr>
      </w:pPr>
      <w:r>
        <w:lastRenderedPageBreak/>
        <w:tab/>
      </w:r>
    </w:p>
    <w:p w:rsidR="00E10BC5" w:rsidRPr="00B667D7" w:rsidRDefault="00E10BC5" w:rsidP="006A6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7D7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B667D7">
        <w:rPr>
          <w:rFonts w:ascii="Times New Roman" w:hAnsi="Times New Roman" w:cs="Times New Roman"/>
          <w:b/>
          <w:sz w:val="28"/>
          <w:szCs w:val="28"/>
        </w:rPr>
        <w:t>Комі</w:t>
      </w:r>
      <w:proofErr w:type="gramStart"/>
      <w:r w:rsidRPr="00B667D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667D7">
        <w:rPr>
          <w:rFonts w:ascii="Times New Roman" w:hAnsi="Times New Roman" w:cs="Times New Roman"/>
          <w:b/>
          <w:sz w:val="28"/>
          <w:szCs w:val="28"/>
        </w:rPr>
        <w:t>ія</w:t>
      </w:r>
      <w:proofErr w:type="spellEnd"/>
      <w:r w:rsidRPr="00B66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7D7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B66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7D7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B66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7D7">
        <w:rPr>
          <w:rFonts w:ascii="Times New Roman" w:hAnsi="Times New Roman" w:cs="Times New Roman"/>
          <w:b/>
          <w:sz w:val="28"/>
          <w:szCs w:val="28"/>
        </w:rPr>
        <w:t>академічної</w:t>
      </w:r>
      <w:proofErr w:type="spellEnd"/>
      <w:r w:rsidRPr="00B66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7D7">
        <w:rPr>
          <w:rFonts w:ascii="Times New Roman" w:hAnsi="Times New Roman" w:cs="Times New Roman"/>
          <w:b/>
          <w:sz w:val="28"/>
          <w:szCs w:val="28"/>
        </w:rPr>
        <w:t>доброчесності</w:t>
      </w:r>
      <w:proofErr w:type="spellEnd"/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D7"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spellStart"/>
      <w:r w:rsidRPr="00B667D7">
        <w:rPr>
          <w:rFonts w:ascii="Times New Roman" w:hAnsi="Times New Roman" w:cs="Times New Roman"/>
          <w:b/>
          <w:sz w:val="28"/>
          <w:szCs w:val="28"/>
        </w:rPr>
        <w:t>етики</w:t>
      </w:r>
      <w:proofErr w:type="spellEnd"/>
      <w:r w:rsidRPr="00B66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7D7">
        <w:rPr>
          <w:rFonts w:ascii="Times New Roman" w:hAnsi="Times New Roman" w:cs="Times New Roman"/>
          <w:b/>
          <w:sz w:val="28"/>
          <w:szCs w:val="28"/>
        </w:rPr>
        <w:t>педагогічних</w:t>
      </w:r>
      <w:proofErr w:type="spellEnd"/>
      <w:r w:rsidRPr="00B66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7D7">
        <w:rPr>
          <w:rFonts w:ascii="Times New Roman" w:hAnsi="Times New Roman" w:cs="Times New Roman"/>
          <w:b/>
          <w:sz w:val="28"/>
          <w:szCs w:val="28"/>
        </w:rPr>
        <w:t>працівникі</w:t>
      </w:r>
      <w:proofErr w:type="gramStart"/>
      <w:r w:rsidRPr="00B667D7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E10BC5" w:rsidRPr="006A6B62" w:rsidRDefault="00E10BC5" w:rsidP="006A6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5.1.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6A6B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6A6B62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B66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незалежний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орган для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із</w:t>
      </w:r>
      <w:proofErr w:type="spellEnd"/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взаємного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усіма</w:t>
      </w:r>
      <w:proofErr w:type="spellEnd"/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морально-етичних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та</w:t>
      </w:r>
      <w:r w:rsidR="00B66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.</w:t>
      </w:r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A6B6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батьківської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.</w:t>
      </w:r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B667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6B62">
        <w:rPr>
          <w:rFonts w:ascii="Times New Roman" w:hAnsi="Times New Roman" w:cs="Times New Roman"/>
          <w:sz w:val="28"/>
          <w:szCs w:val="28"/>
        </w:rPr>
        <w:t>ради.</w:t>
      </w:r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- 1 </w:t>
      </w: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.</w:t>
      </w:r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6A6B6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6A6B62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морально-етичних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норм</w:t>
      </w:r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норм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за потребою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.</w:t>
      </w:r>
    </w:p>
    <w:p w:rsidR="00E10BC5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про свою роботу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6A6B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A6B62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.</w:t>
      </w:r>
    </w:p>
    <w:p w:rsidR="00B667D7" w:rsidRPr="00B667D7" w:rsidRDefault="00B667D7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0BC5" w:rsidRPr="00B667D7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7D7">
        <w:rPr>
          <w:rFonts w:ascii="Times New Roman" w:hAnsi="Times New Roman" w:cs="Times New Roman"/>
          <w:b/>
          <w:sz w:val="28"/>
          <w:szCs w:val="28"/>
        </w:rPr>
        <w:t xml:space="preserve">VI. </w:t>
      </w:r>
      <w:proofErr w:type="spellStart"/>
      <w:r w:rsidRPr="00B667D7">
        <w:rPr>
          <w:rFonts w:ascii="Times New Roman" w:hAnsi="Times New Roman" w:cs="Times New Roman"/>
          <w:b/>
          <w:sz w:val="28"/>
          <w:szCs w:val="28"/>
        </w:rPr>
        <w:t>Прикінцеві</w:t>
      </w:r>
      <w:proofErr w:type="spellEnd"/>
      <w:r w:rsidRPr="00B66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7D7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C5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B62">
        <w:rPr>
          <w:rFonts w:ascii="Times New Roman" w:hAnsi="Times New Roman" w:cs="Times New Roman"/>
          <w:sz w:val="28"/>
          <w:szCs w:val="28"/>
        </w:rPr>
        <w:t xml:space="preserve">6.1.Положення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ухвалюється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радою закладу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голосі</w:t>
      </w:r>
      <w:proofErr w:type="gramStart"/>
      <w:r w:rsidRPr="006A6B6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E22ECC" w:rsidRPr="006A6B62" w:rsidRDefault="00E10BC5" w:rsidP="00B66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6A6B62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6A6B62">
        <w:rPr>
          <w:rFonts w:ascii="Times New Roman" w:hAnsi="Times New Roman" w:cs="Times New Roman"/>
          <w:sz w:val="28"/>
          <w:szCs w:val="28"/>
        </w:rPr>
        <w:t>.</w:t>
      </w:r>
    </w:p>
    <w:sectPr w:rsidR="00E22ECC" w:rsidRPr="006A6B62" w:rsidSect="00F45C9B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7D5E"/>
    <w:multiLevelType w:val="multilevel"/>
    <w:tmpl w:val="BC721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216C6C"/>
    <w:multiLevelType w:val="hybridMultilevel"/>
    <w:tmpl w:val="B54A88AA"/>
    <w:lvl w:ilvl="0" w:tplc="060424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C30EB"/>
    <w:multiLevelType w:val="hybridMultilevel"/>
    <w:tmpl w:val="A192D06E"/>
    <w:lvl w:ilvl="0" w:tplc="7E1EDD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BC5"/>
    <w:rsid w:val="003B612F"/>
    <w:rsid w:val="006A6B62"/>
    <w:rsid w:val="009A072B"/>
    <w:rsid w:val="00A3492E"/>
    <w:rsid w:val="00B667D7"/>
    <w:rsid w:val="00E10BC5"/>
    <w:rsid w:val="00E22ECC"/>
    <w:rsid w:val="00F4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9B"/>
    <w:pPr>
      <w:ind w:left="720"/>
      <w:contextualSpacing/>
    </w:pPr>
  </w:style>
  <w:style w:type="table" w:styleId="a4">
    <w:name w:val="Table Grid"/>
    <w:basedOn w:val="a1"/>
    <w:uiPriority w:val="39"/>
    <w:rsid w:val="009A072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A07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5pt">
    <w:name w:val="Основной текст (2) + 10;5 pt;Полужирный;Курсив"/>
    <w:basedOn w:val="2"/>
    <w:rsid w:val="009A072B"/>
    <w:rPr>
      <w:b/>
      <w:bCs/>
      <w:i/>
      <w:iCs/>
      <w:color w:val="000000"/>
      <w:spacing w:val="0"/>
      <w:w w:val="100"/>
      <w:position w:val="0"/>
      <w:sz w:val="21"/>
      <w:szCs w:val="21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9A072B"/>
    <w:pPr>
      <w:widowControl w:val="0"/>
      <w:shd w:val="clear" w:color="auto" w:fill="FFFFFF"/>
      <w:spacing w:after="0" w:line="35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pt">
    <w:name w:val="Основной текст (2) + 10 pt;Полужирный"/>
    <w:basedOn w:val="2"/>
    <w:rsid w:val="009A072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1pt">
    <w:name w:val="Основной текст (2) + 11 pt"/>
    <w:basedOn w:val="2"/>
    <w:rsid w:val="009A072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3Exact">
    <w:name w:val="Основной текст (3) Exact"/>
    <w:basedOn w:val="a0"/>
    <w:link w:val="3"/>
    <w:rsid w:val="009A07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A072B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cp:lastPrinted>2020-02-18T12:35:00Z</cp:lastPrinted>
  <dcterms:created xsi:type="dcterms:W3CDTF">2020-02-17T11:30:00Z</dcterms:created>
  <dcterms:modified xsi:type="dcterms:W3CDTF">2020-02-18T12:35:00Z</dcterms:modified>
</cp:coreProperties>
</file>