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DB" w:rsidRPr="0009623D" w:rsidRDefault="006C64DB" w:rsidP="0009623D">
      <w:pPr>
        <w:pStyle w:val="a3"/>
        <w:spacing w:before="0" w:beforeAutospacing="0" w:after="0" w:afterAutospacing="0"/>
        <w:jc w:val="center"/>
        <w:rPr>
          <w:rFonts w:ascii="Arial" w:hAnsi="Arial" w:cs="Arial"/>
          <w:sz w:val="21"/>
          <w:szCs w:val="21"/>
        </w:rPr>
      </w:pPr>
      <w:bookmarkStart w:id="0" w:name="_GoBack"/>
      <w:bookmarkEnd w:id="0"/>
      <w:r w:rsidRPr="0009623D">
        <w:rPr>
          <w:b/>
          <w:bCs/>
          <w:sz w:val="28"/>
          <w:szCs w:val="28"/>
          <w:bdr w:val="none" w:sz="0" w:space="0" w:color="auto" w:frame="1"/>
          <w:shd w:val="clear" w:color="auto" w:fill="FFFFFF"/>
          <w:lang w:val="uk-UA"/>
        </w:rPr>
        <w:t>Порядок реагування</w:t>
      </w:r>
    </w:p>
    <w:p w:rsidR="006C64DB" w:rsidRPr="0009623D" w:rsidRDefault="006C64DB" w:rsidP="0009623D">
      <w:pPr>
        <w:pStyle w:val="a3"/>
        <w:spacing w:before="0" w:beforeAutospacing="0" w:after="0" w:afterAutospacing="0"/>
        <w:jc w:val="center"/>
        <w:rPr>
          <w:rFonts w:ascii="Arial" w:hAnsi="Arial" w:cs="Arial"/>
          <w:sz w:val="21"/>
          <w:szCs w:val="21"/>
        </w:rPr>
      </w:pPr>
      <w:r w:rsidRPr="0009623D">
        <w:rPr>
          <w:b/>
          <w:bCs/>
          <w:sz w:val="28"/>
          <w:szCs w:val="28"/>
          <w:bdr w:val="none" w:sz="0" w:space="0" w:color="auto" w:frame="1"/>
          <w:shd w:val="clear" w:color="auto" w:fill="FFFFFF"/>
          <w:lang w:val="uk-UA"/>
        </w:rPr>
        <w:t xml:space="preserve">на доведені випадки </w:t>
      </w:r>
      <w:proofErr w:type="spellStart"/>
      <w:r w:rsidRPr="0009623D">
        <w:rPr>
          <w:b/>
          <w:bCs/>
          <w:sz w:val="28"/>
          <w:szCs w:val="28"/>
          <w:bdr w:val="none" w:sz="0" w:space="0" w:color="auto" w:frame="1"/>
          <w:shd w:val="clear" w:color="auto" w:fill="FFFFFF"/>
          <w:lang w:val="uk-UA"/>
        </w:rPr>
        <w:t>булінгу</w:t>
      </w:r>
      <w:proofErr w:type="spellEnd"/>
      <w:r w:rsidRPr="0009623D">
        <w:rPr>
          <w:b/>
          <w:bCs/>
          <w:sz w:val="28"/>
          <w:szCs w:val="28"/>
          <w:bdr w:val="none" w:sz="0" w:space="0" w:color="auto" w:frame="1"/>
          <w:shd w:val="clear" w:color="auto" w:fill="FFFFFF"/>
          <w:lang w:val="uk-UA"/>
        </w:rPr>
        <w:t xml:space="preserve"> (цькування) в закладі освіти</w:t>
      </w:r>
    </w:p>
    <w:p w:rsidR="006C64DB" w:rsidRPr="0009623D" w:rsidRDefault="006C64DB" w:rsidP="0009623D">
      <w:pPr>
        <w:pStyle w:val="a3"/>
        <w:spacing w:before="0" w:beforeAutospacing="0" w:after="0" w:afterAutospacing="0"/>
        <w:jc w:val="center"/>
        <w:rPr>
          <w:rFonts w:ascii="Arial" w:hAnsi="Arial" w:cs="Arial"/>
          <w:sz w:val="21"/>
          <w:szCs w:val="21"/>
        </w:rPr>
      </w:pPr>
      <w:r w:rsidRPr="0009623D">
        <w:rPr>
          <w:b/>
          <w:bCs/>
          <w:sz w:val="28"/>
          <w:szCs w:val="28"/>
          <w:bdr w:val="none" w:sz="0" w:space="0" w:color="auto" w:frame="1"/>
          <w:shd w:val="clear" w:color="auto" w:fill="FFFFFF"/>
          <w:lang w:val="uk-UA"/>
        </w:rPr>
        <w:t xml:space="preserve">та відповідальність осіб, причетних до </w:t>
      </w:r>
      <w:proofErr w:type="spellStart"/>
      <w:r w:rsidRPr="0009623D">
        <w:rPr>
          <w:b/>
          <w:bCs/>
          <w:sz w:val="28"/>
          <w:szCs w:val="28"/>
          <w:bdr w:val="none" w:sz="0" w:space="0" w:color="auto" w:frame="1"/>
          <w:shd w:val="clear" w:color="auto" w:fill="FFFFFF"/>
          <w:lang w:val="uk-UA"/>
        </w:rPr>
        <w:t>булінгу</w:t>
      </w:r>
      <w:proofErr w:type="spellEnd"/>
      <w:r w:rsidRPr="0009623D">
        <w:rPr>
          <w:b/>
          <w:bCs/>
          <w:sz w:val="28"/>
          <w:szCs w:val="28"/>
          <w:bdr w:val="none" w:sz="0" w:space="0" w:color="auto" w:frame="1"/>
          <w:shd w:val="clear" w:color="auto" w:fill="FFFFFF"/>
          <w:lang w:val="uk-UA"/>
        </w:rPr>
        <w:t xml:space="preserve"> (цькування)</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1.    У день подання заяви видається наказ по закладу освіти про проведення розслідування із визначенням уповноважених осіб.</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 xml:space="preserve">2.    Створюється комісія з розгляду випадків </w:t>
      </w:r>
      <w:proofErr w:type="spellStart"/>
      <w:r w:rsidRPr="0009623D">
        <w:rPr>
          <w:sz w:val="28"/>
          <w:szCs w:val="28"/>
          <w:bdr w:val="none" w:sz="0" w:space="0" w:color="auto" w:frame="1"/>
          <w:shd w:val="clear" w:color="auto" w:fill="FFFFFF"/>
          <w:lang w:val="uk-UA"/>
        </w:rPr>
        <w:t>булінгу</w:t>
      </w:r>
      <w:proofErr w:type="spellEnd"/>
      <w:r w:rsidRPr="0009623D">
        <w:rPr>
          <w:sz w:val="28"/>
          <w:szCs w:val="28"/>
          <w:bdr w:val="none" w:sz="0" w:space="0" w:color="auto" w:frame="1"/>
          <w:shd w:val="clear" w:color="auto" w:fill="FFFFFF"/>
          <w:lang w:val="uk-UA"/>
        </w:rPr>
        <w:t xml:space="preserve"> (цькування) (далі – Комісія) зі складу педагогічних працівників (у тому числі психолог, соціальний педагог), батьків постраждалого та </w:t>
      </w:r>
      <w:proofErr w:type="spellStart"/>
      <w:r w:rsidRPr="0009623D">
        <w:rPr>
          <w:sz w:val="28"/>
          <w:szCs w:val="28"/>
          <w:bdr w:val="none" w:sz="0" w:space="0" w:color="auto" w:frame="1"/>
          <w:shd w:val="clear" w:color="auto" w:fill="FFFFFF"/>
          <w:lang w:val="uk-UA"/>
        </w:rPr>
        <w:t>булера</w:t>
      </w:r>
      <w:proofErr w:type="spellEnd"/>
      <w:r w:rsidRPr="0009623D">
        <w:rPr>
          <w:sz w:val="28"/>
          <w:szCs w:val="28"/>
          <w:bdr w:val="none" w:sz="0" w:space="0" w:color="auto" w:frame="1"/>
          <w:shd w:val="clear" w:color="auto" w:fill="FFFFFF"/>
          <w:lang w:val="uk-UA"/>
        </w:rPr>
        <w:t>, керівника закладу освіти та скликається засідання.</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3.    Комісія протягом 10 днів проводить розслідування та приймає відповідне рішення:</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 xml:space="preserve">-        якщо Комісія визнає, що це був </w:t>
      </w:r>
      <w:proofErr w:type="spellStart"/>
      <w:r w:rsidRPr="0009623D">
        <w:rPr>
          <w:sz w:val="28"/>
          <w:szCs w:val="28"/>
          <w:bdr w:val="none" w:sz="0" w:space="0" w:color="auto" w:frame="1"/>
          <w:shd w:val="clear" w:color="auto" w:fill="FFFFFF"/>
          <w:lang w:val="uk-UA"/>
        </w:rPr>
        <w:t>булінг</w:t>
      </w:r>
      <w:proofErr w:type="spellEnd"/>
      <w:r w:rsidRPr="0009623D">
        <w:rPr>
          <w:sz w:val="28"/>
          <w:szCs w:val="28"/>
          <w:bdr w:val="none" w:sz="0" w:space="0" w:color="auto" w:frame="1"/>
          <w:shd w:val="clear" w:color="auto" w:fill="FFFFFF"/>
          <w:lang w:val="uk-UA"/>
        </w:rPr>
        <w:t xml:space="preserve"> (цькування), а не одноразовий конфлікт чи сварка, тобто відповідні дії носять системний характер, про це повідомляються уповноважені підрозділи органів Національної поліції України (ювенальна превенція) та Служба у справах дітей;</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 xml:space="preserve">-        якщо Комісія не кваліфікує випадок як </w:t>
      </w:r>
      <w:proofErr w:type="spellStart"/>
      <w:r w:rsidRPr="0009623D">
        <w:rPr>
          <w:sz w:val="28"/>
          <w:szCs w:val="28"/>
          <w:bdr w:val="none" w:sz="0" w:space="0" w:color="auto" w:frame="1"/>
          <w:shd w:val="clear" w:color="auto" w:fill="FFFFFF"/>
          <w:lang w:val="uk-UA"/>
        </w:rPr>
        <w:t>булінг</w:t>
      </w:r>
      <w:proofErr w:type="spellEnd"/>
      <w:r w:rsidRPr="0009623D">
        <w:rPr>
          <w:sz w:val="28"/>
          <w:szCs w:val="28"/>
          <w:bdr w:val="none" w:sz="0" w:space="0" w:color="auto" w:frame="1"/>
          <w:shd w:val="clear" w:color="auto" w:fill="FFFFFF"/>
          <w:lang w:val="uk-UA"/>
        </w:rPr>
        <w:t xml:space="preserve"> (цькування), а постраждалий не згоден з цим, то він може одразу звернутись до органів Національної поліції  України із заявою.</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4.    Рішення Комісії реєструються в окремому журналі, зберігаються в паперовому вигляді з оригіналами підписів усіх членів Комісії.</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5.    Кривдник (</w:t>
      </w:r>
      <w:proofErr w:type="spellStart"/>
      <w:r w:rsidRPr="0009623D">
        <w:rPr>
          <w:sz w:val="28"/>
          <w:szCs w:val="28"/>
          <w:bdr w:val="none" w:sz="0" w:space="0" w:color="auto" w:frame="1"/>
          <w:shd w:val="clear" w:color="auto" w:fill="FFFFFF"/>
          <w:lang w:val="uk-UA"/>
        </w:rPr>
        <w:t>булер</w:t>
      </w:r>
      <w:proofErr w:type="spellEnd"/>
      <w:r w:rsidRPr="0009623D">
        <w:rPr>
          <w:sz w:val="28"/>
          <w:szCs w:val="28"/>
          <w:bdr w:val="none" w:sz="0" w:space="0" w:color="auto" w:frame="1"/>
          <w:shd w:val="clear" w:color="auto" w:fill="FFFFFF"/>
          <w:lang w:val="uk-UA"/>
        </w:rPr>
        <w:t xml:space="preserve">), потерпілий (жертва </w:t>
      </w:r>
      <w:proofErr w:type="spellStart"/>
      <w:r w:rsidRPr="0009623D">
        <w:rPr>
          <w:sz w:val="28"/>
          <w:szCs w:val="28"/>
          <w:bdr w:val="none" w:sz="0" w:space="0" w:color="auto" w:frame="1"/>
          <w:shd w:val="clear" w:color="auto" w:fill="FFFFFF"/>
          <w:lang w:val="uk-UA"/>
        </w:rPr>
        <w:t>булінгу</w:t>
      </w:r>
      <w:proofErr w:type="spellEnd"/>
      <w:r w:rsidRPr="0009623D">
        <w:rPr>
          <w:sz w:val="28"/>
          <w:szCs w:val="28"/>
          <w:bdr w:val="none" w:sz="0" w:space="0" w:color="auto" w:frame="1"/>
          <w:shd w:val="clear" w:color="auto" w:fill="FFFFFF"/>
          <w:lang w:val="uk-UA"/>
        </w:rPr>
        <w:t xml:space="preserve">), за наявності — спостерігачі зобов’язані виконувати рішення та рекомендації комісії з розгляду випадків </w:t>
      </w:r>
      <w:proofErr w:type="spellStart"/>
      <w:r w:rsidRPr="0009623D">
        <w:rPr>
          <w:sz w:val="28"/>
          <w:szCs w:val="28"/>
          <w:bdr w:val="none" w:sz="0" w:space="0" w:color="auto" w:frame="1"/>
          <w:shd w:val="clear" w:color="auto" w:fill="FFFFFF"/>
          <w:lang w:val="uk-UA"/>
        </w:rPr>
        <w:t>булінгу</w:t>
      </w:r>
      <w:proofErr w:type="spellEnd"/>
      <w:r w:rsidRPr="0009623D">
        <w:rPr>
          <w:sz w:val="28"/>
          <w:szCs w:val="28"/>
          <w:bdr w:val="none" w:sz="0" w:space="0" w:color="auto" w:frame="1"/>
          <w:shd w:val="clear" w:color="auto" w:fill="FFFFFF"/>
          <w:lang w:val="uk-UA"/>
        </w:rPr>
        <w:t xml:space="preserve"> (цькування) в закладі освіти.</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rFonts w:ascii="Calibri" w:hAnsi="Calibri" w:cs="Arial"/>
          <w:b/>
          <w:bCs/>
          <w:sz w:val="22"/>
          <w:szCs w:val="22"/>
          <w:bdr w:val="none" w:sz="0" w:space="0" w:color="auto" w:frame="1"/>
          <w:shd w:val="clear" w:color="auto" w:fill="FFFFFF"/>
        </w:rPr>
        <w:t> </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b/>
          <w:bCs/>
          <w:sz w:val="28"/>
          <w:szCs w:val="28"/>
          <w:bdr w:val="none" w:sz="0" w:space="0" w:color="auto" w:frame="1"/>
          <w:shd w:val="clear" w:color="auto" w:fill="FFFFFF"/>
          <w:lang w:val="uk-UA"/>
        </w:rPr>
        <w:t xml:space="preserve">Стаття 173-4. </w:t>
      </w:r>
      <w:proofErr w:type="spellStart"/>
      <w:r w:rsidRPr="0009623D">
        <w:rPr>
          <w:b/>
          <w:bCs/>
          <w:sz w:val="28"/>
          <w:szCs w:val="28"/>
          <w:bdr w:val="none" w:sz="0" w:space="0" w:color="auto" w:frame="1"/>
          <w:shd w:val="clear" w:color="auto" w:fill="FFFFFF"/>
          <w:lang w:val="uk-UA"/>
        </w:rPr>
        <w:t>Булінг</w:t>
      </w:r>
      <w:proofErr w:type="spellEnd"/>
      <w:r w:rsidRPr="0009623D">
        <w:rPr>
          <w:b/>
          <w:bCs/>
          <w:sz w:val="28"/>
          <w:szCs w:val="28"/>
          <w:bdr w:val="none" w:sz="0" w:space="0" w:color="auto" w:frame="1"/>
          <w:shd w:val="clear" w:color="auto" w:fill="FFFFFF"/>
          <w:lang w:val="uk-UA"/>
        </w:rPr>
        <w:t xml:space="preserve"> (цькування) учасника освітнього процесу</w:t>
      </w:r>
      <w:r w:rsidRPr="0009623D">
        <w:rPr>
          <w:sz w:val="28"/>
          <w:szCs w:val="28"/>
          <w:bdr w:val="none" w:sz="0" w:space="0" w:color="auto" w:frame="1"/>
          <w:shd w:val="clear" w:color="auto" w:fill="FFFFFF"/>
          <w:lang w:val="uk-UA"/>
        </w:rPr>
        <w:t>(</w:t>
      </w:r>
      <w:r w:rsidRPr="0009623D">
        <w:rPr>
          <w:b/>
          <w:bCs/>
          <w:sz w:val="28"/>
          <w:szCs w:val="28"/>
          <w:bdr w:val="none" w:sz="0" w:space="0" w:color="auto" w:frame="1"/>
          <w:shd w:val="clear" w:color="auto" w:fill="FFFFFF"/>
          <w:lang w:val="uk-UA"/>
        </w:rPr>
        <w:t>Кодекс України про адміністративні правопорушення)</w:t>
      </w:r>
    </w:p>
    <w:p w:rsidR="006C64DB" w:rsidRPr="0009623D" w:rsidRDefault="006C64DB" w:rsidP="0009623D">
      <w:pPr>
        <w:pStyle w:val="a3"/>
        <w:spacing w:before="0" w:beforeAutospacing="0" w:after="0" w:afterAutospacing="0"/>
        <w:jc w:val="both"/>
        <w:rPr>
          <w:rFonts w:ascii="Arial" w:hAnsi="Arial" w:cs="Arial"/>
          <w:sz w:val="21"/>
          <w:szCs w:val="21"/>
        </w:rPr>
      </w:pPr>
      <w:bookmarkStart w:id="1" w:name="n4218"/>
      <w:bookmarkEnd w:id="1"/>
      <w:proofErr w:type="spellStart"/>
      <w:r w:rsidRPr="0009623D">
        <w:rPr>
          <w:sz w:val="28"/>
          <w:szCs w:val="28"/>
          <w:bdr w:val="none" w:sz="0" w:space="0" w:color="auto" w:frame="1"/>
          <w:shd w:val="clear" w:color="auto" w:fill="FFFFFF"/>
          <w:lang w:val="uk-UA"/>
        </w:rPr>
        <w:t>Булінг</w:t>
      </w:r>
      <w:proofErr w:type="spellEnd"/>
      <w:r w:rsidRPr="0009623D">
        <w:rPr>
          <w:sz w:val="28"/>
          <w:szCs w:val="28"/>
          <w:bdr w:val="none" w:sz="0" w:space="0" w:color="auto" w:frame="1"/>
          <w:shd w:val="clear" w:color="auto" w:fill="FFFFFF"/>
          <w:lang w:val="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6C64DB" w:rsidRPr="0009623D" w:rsidRDefault="006C64DB" w:rsidP="0009623D">
      <w:pPr>
        <w:pStyle w:val="a3"/>
        <w:spacing w:before="0" w:beforeAutospacing="0" w:after="0" w:afterAutospacing="0"/>
        <w:jc w:val="both"/>
        <w:rPr>
          <w:rFonts w:ascii="Arial" w:hAnsi="Arial" w:cs="Arial"/>
          <w:sz w:val="21"/>
          <w:szCs w:val="21"/>
        </w:rPr>
      </w:pPr>
      <w:bookmarkStart w:id="2" w:name="n4219"/>
      <w:bookmarkEnd w:id="2"/>
      <w:r w:rsidRPr="0009623D">
        <w:rPr>
          <w:sz w:val="28"/>
          <w:szCs w:val="28"/>
          <w:bdr w:val="none" w:sz="0" w:space="0" w:color="auto" w:frame="1"/>
          <w:shd w:val="clear" w:color="auto" w:fill="FFFFFF"/>
          <w:lang w:val="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C64DB" w:rsidRPr="0009623D" w:rsidRDefault="006C64DB" w:rsidP="0009623D">
      <w:pPr>
        <w:pStyle w:val="a3"/>
        <w:spacing w:before="0" w:beforeAutospacing="0" w:after="0" w:afterAutospacing="0"/>
        <w:jc w:val="both"/>
        <w:rPr>
          <w:rFonts w:ascii="Arial" w:hAnsi="Arial" w:cs="Arial"/>
          <w:sz w:val="21"/>
          <w:szCs w:val="21"/>
        </w:rPr>
      </w:pPr>
      <w:bookmarkStart w:id="3" w:name="n4220"/>
      <w:bookmarkEnd w:id="3"/>
      <w:r w:rsidRPr="0009623D">
        <w:rPr>
          <w:sz w:val="28"/>
          <w:szCs w:val="28"/>
          <w:bdr w:val="none" w:sz="0" w:space="0" w:color="auto" w:frame="1"/>
          <w:shd w:val="clear" w:color="auto" w:fill="FFFFFF"/>
          <w:lang w:val="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6C64DB" w:rsidRPr="0009623D" w:rsidRDefault="006C64DB" w:rsidP="0009623D">
      <w:pPr>
        <w:pStyle w:val="a3"/>
        <w:spacing w:before="0" w:beforeAutospacing="0" w:after="0" w:afterAutospacing="0"/>
        <w:jc w:val="both"/>
        <w:rPr>
          <w:rFonts w:ascii="Arial" w:hAnsi="Arial" w:cs="Arial"/>
          <w:sz w:val="21"/>
          <w:szCs w:val="21"/>
        </w:rPr>
      </w:pPr>
      <w:bookmarkStart w:id="4" w:name="n4221"/>
      <w:bookmarkEnd w:id="4"/>
      <w:r w:rsidRPr="0009623D">
        <w:rPr>
          <w:sz w:val="28"/>
          <w:szCs w:val="28"/>
          <w:bdr w:val="none" w:sz="0" w:space="0" w:color="auto" w:frame="1"/>
          <w:shd w:val="clear" w:color="auto" w:fill="FFFFFF"/>
          <w:lang w:val="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C64DB" w:rsidRPr="0009623D" w:rsidRDefault="006C64DB" w:rsidP="0009623D">
      <w:pPr>
        <w:pStyle w:val="a3"/>
        <w:spacing w:before="0" w:beforeAutospacing="0" w:after="0" w:afterAutospacing="0"/>
        <w:jc w:val="both"/>
        <w:rPr>
          <w:rFonts w:ascii="Arial" w:hAnsi="Arial" w:cs="Arial"/>
          <w:sz w:val="21"/>
          <w:szCs w:val="21"/>
        </w:rPr>
      </w:pPr>
      <w:bookmarkStart w:id="5" w:name="n4222"/>
      <w:bookmarkEnd w:id="5"/>
      <w:r w:rsidRPr="0009623D">
        <w:rPr>
          <w:sz w:val="28"/>
          <w:szCs w:val="28"/>
          <w:bdr w:val="none" w:sz="0" w:space="0" w:color="auto" w:frame="1"/>
          <w:shd w:val="clear" w:color="auto" w:fill="FFFFFF"/>
          <w:lang w:val="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6C64DB" w:rsidRPr="0009623D" w:rsidRDefault="006C64DB" w:rsidP="0009623D">
      <w:pPr>
        <w:pStyle w:val="a3"/>
        <w:spacing w:before="0" w:beforeAutospacing="0" w:after="0" w:afterAutospacing="0"/>
        <w:jc w:val="both"/>
        <w:rPr>
          <w:rFonts w:ascii="Arial" w:hAnsi="Arial" w:cs="Arial"/>
          <w:sz w:val="21"/>
          <w:szCs w:val="21"/>
        </w:rPr>
      </w:pPr>
      <w:bookmarkStart w:id="6" w:name="n4223"/>
      <w:bookmarkEnd w:id="6"/>
      <w:r w:rsidRPr="0009623D">
        <w:rPr>
          <w:sz w:val="28"/>
          <w:szCs w:val="28"/>
          <w:bdr w:val="none" w:sz="0" w:space="0" w:color="auto" w:frame="1"/>
          <w:shd w:val="clear" w:color="auto" w:fill="FFFFFF"/>
          <w:lang w:val="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C64DB" w:rsidRPr="0009623D" w:rsidRDefault="006C64DB" w:rsidP="0009623D">
      <w:pPr>
        <w:pStyle w:val="a3"/>
        <w:spacing w:before="0" w:beforeAutospacing="0" w:after="0" w:afterAutospacing="0"/>
        <w:jc w:val="both"/>
        <w:rPr>
          <w:rFonts w:ascii="Arial" w:hAnsi="Arial" w:cs="Arial"/>
          <w:sz w:val="21"/>
          <w:szCs w:val="21"/>
        </w:rPr>
      </w:pPr>
      <w:bookmarkStart w:id="7" w:name="n4224"/>
      <w:bookmarkEnd w:id="7"/>
      <w:r w:rsidRPr="0009623D">
        <w:rPr>
          <w:sz w:val="28"/>
          <w:szCs w:val="28"/>
          <w:bdr w:val="none" w:sz="0" w:space="0" w:color="auto" w:frame="1"/>
          <w:shd w:val="clear" w:color="auto" w:fill="FFFFFF"/>
          <w:lang w:val="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6C64DB" w:rsidRPr="0009623D" w:rsidRDefault="006C64DB" w:rsidP="0009623D">
      <w:pPr>
        <w:pStyle w:val="a3"/>
        <w:spacing w:before="0" w:beforeAutospacing="0" w:after="0" w:afterAutospacing="0"/>
        <w:jc w:val="both"/>
        <w:rPr>
          <w:rFonts w:ascii="Arial" w:hAnsi="Arial" w:cs="Arial"/>
          <w:sz w:val="21"/>
          <w:szCs w:val="21"/>
        </w:rPr>
      </w:pPr>
      <w:bookmarkStart w:id="8" w:name="n4225"/>
      <w:bookmarkEnd w:id="8"/>
      <w:r w:rsidRPr="0009623D">
        <w:rPr>
          <w:sz w:val="28"/>
          <w:szCs w:val="28"/>
          <w:bdr w:val="none" w:sz="0" w:space="0" w:color="auto" w:frame="1"/>
          <w:shd w:val="clear" w:color="auto" w:fill="FFFFFF"/>
          <w:lang w:val="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C64DB" w:rsidRPr="0009623D" w:rsidRDefault="006C64DB" w:rsidP="0009623D">
      <w:pPr>
        <w:pStyle w:val="a3"/>
        <w:spacing w:before="0" w:beforeAutospacing="0" w:after="160" w:afterAutospacing="0"/>
        <w:jc w:val="center"/>
        <w:rPr>
          <w:rFonts w:ascii="Arial" w:hAnsi="Arial" w:cs="Arial"/>
          <w:sz w:val="21"/>
          <w:szCs w:val="21"/>
        </w:rPr>
      </w:pPr>
      <w:r w:rsidRPr="0009623D">
        <w:rPr>
          <w:rFonts w:ascii="Arial" w:hAnsi="Arial" w:cs="Arial"/>
          <w:sz w:val="21"/>
          <w:szCs w:val="21"/>
        </w:rPr>
        <w:t> </w:t>
      </w:r>
    </w:p>
    <w:p w:rsidR="006C64DB" w:rsidRPr="0009623D" w:rsidRDefault="006C64DB" w:rsidP="0009623D">
      <w:pPr>
        <w:pStyle w:val="a3"/>
        <w:spacing w:before="0" w:beforeAutospacing="0" w:after="0" w:afterAutospacing="0"/>
        <w:jc w:val="center"/>
        <w:rPr>
          <w:rFonts w:ascii="Arial" w:hAnsi="Arial" w:cs="Arial"/>
          <w:sz w:val="21"/>
          <w:szCs w:val="21"/>
        </w:rPr>
      </w:pPr>
      <w:r w:rsidRPr="0009623D">
        <w:rPr>
          <w:b/>
          <w:bCs/>
          <w:sz w:val="28"/>
          <w:szCs w:val="28"/>
          <w:bdr w:val="none" w:sz="0" w:space="0" w:color="auto" w:frame="1"/>
          <w:shd w:val="clear" w:color="auto" w:fill="FFFFFF"/>
          <w:lang w:val="uk-UA"/>
        </w:rPr>
        <w:lastRenderedPageBreak/>
        <w:t>Штрафи, які передбачено за знущання</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-Моральне чи фізичне насильство, агресія – 340-850 грн.</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-Дії з особливою жорстокістю, повторне порушення – 850-1700 грн.</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-Приховування вчителем факту цькування – 1700-3400 грн, або виправні роботи строком до одного місяця з відрахуванням до 20 % заробітку.</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rFonts w:ascii="Calibri" w:hAnsi="Calibri" w:cs="Arial"/>
          <w:sz w:val="22"/>
          <w:szCs w:val="22"/>
          <w:bdr w:val="none" w:sz="0" w:space="0" w:color="auto" w:frame="1"/>
          <w:shd w:val="clear" w:color="auto" w:fill="FFFFFF"/>
        </w:rPr>
        <w:t> </w:t>
      </w:r>
    </w:p>
    <w:p w:rsidR="006C64DB" w:rsidRPr="0009623D" w:rsidRDefault="006C64DB" w:rsidP="0009623D">
      <w:pPr>
        <w:pStyle w:val="a3"/>
        <w:spacing w:before="0" w:beforeAutospacing="0" w:after="0" w:afterAutospacing="0"/>
        <w:jc w:val="both"/>
        <w:rPr>
          <w:rFonts w:ascii="Arial" w:hAnsi="Arial" w:cs="Arial"/>
          <w:sz w:val="21"/>
          <w:szCs w:val="21"/>
        </w:rPr>
      </w:pPr>
      <w:r w:rsidRPr="0009623D">
        <w:rPr>
          <w:sz w:val="28"/>
          <w:szCs w:val="28"/>
          <w:bdr w:val="none" w:sz="0" w:space="0" w:color="auto" w:frame="1"/>
          <w:shd w:val="clear" w:color="auto" w:fill="FFFFFF"/>
          <w:lang w:val="uk-UA"/>
        </w:rPr>
        <w:t>Якщо правопорушення вчинили неповнолітні до 16 років, штраф сплачуватимуть батьки.</w:t>
      </w:r>
    </w:p>
    <w:p w:rsidR="001404D0" w:rsidRPr="0009623D" w:rsidRDefault="001404D0" w:rsidP="0009623D"/>
    <w:sectPr w:rsidR="001404D0" w:rsidRPr="0009623D" w:rsidSect="0009623D">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4DB"/>
    <w:rsid w:val="0009623D"/>
    <w:rsid w:val="001404D0"/>
    <w:rsid w:val="006C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80BCA-4964-4C61-814E-E1297E2A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6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0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2197</Words>
  <Characters>1253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Федiр</dc:creator>
  <cp:lastModifiedBy>class</cp:lastModifiedBy>
  <cp:revision>2</cp:revision>
  <dcterms:created xsi:type="dcterms:W3CDTF">2019-10-21T16:32:00Z</dcterms:created>
  <dcterms:modified xsi:type="dcterms:W3CDTF">2019-12-20T10:44:00Z</dcterms:modified>
</cp:coreProperties>
</file>