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F8" w:rsidRDefault="00AF67F8" w:rsidP="00AF67F8">
      <w:pPr>
        <w:numPr>
          <w:ilvl w:val="0"/>
          <w:numId w:val="1"/>
        </w:numPr>
        <w:tabs>
          <w:tab w:val="left" w:pos="2610"/>
        </w:tabs>
        <w:spacing w:after="0" w:line="0" w:lineRule="atLeast"/>
        <w:jc w:val="center"/>
        <w:rPr>
          <w:color w:val="000000"/>
          <w:sz w:val="28"/>
          <w:szCs w:val="28"/>
          <w:lang w:val="uk-UA"/>
        </w:rPr>
      </w:pPr>
      <w:proofErr w:type="spellStart"/>
      <w:r w:rsidRPr="005762FB">
        <w:rPr>
          <w:color w:val="000000"/>
          <w:sz w:val="28"/>
          <w:szCs w:val="28"/>
        </w:rPr>
        <w:t>Критерії</w:t>
      </w:r>
      <w:proofErr w:type="spellEnd"/>
      <w:r w:rsidRPr="005762FB">
        <w:rPr>
          <w:color w:val="000000"/>
          <w:sz w:val="28"/>
          <w:szCs w:val="28"/>
        </w:rPr>
        <w:t xml:space="preserve"> </w:t>
      </w:r>
      <w:proofErr w:type="spellStart"/>
      <w:r w:rsidRPr="005762FB">
        <w:rPr>
          <w:color w:val="000000"/>
          <w:sz w:val="28"/>
          <w:szCs w:val="28"/>
        </w:rPr>
        <w:t>оцінювання</w:t>
      </w:r>
      <w:proofErr w:type="spellEnd"/>
      <w:r w:rsidRPr="005762FB">
        <w:rPr>
          <w:color w:val="000000"/>
          <w:sz w:val="28"/>
          <w:szCs w:val="28"/>
        </w:rPr>
        <w:t xml:space="preserve"> </w:t>
      </w:r>
      <w:proofErr w:type="spellStart"/>
      <w:r w:rsidRPr="005762FB">
        <w:rPr>
          <w:color w:val="000000"/>
          <w:sz w:val="28"/>
          <w:szCs w:val="28"/>
        </w:rPr>
        <w:t>навча</w:t>
      </w:r>
      <w:r>
        <w:rPr>
          <w:color w:val="000000"/>
          <w:sz w:val="28"/>
          <w:szCs w:val="28"/>
        </w:rPr>
        <w:t>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досягнень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предмет</w:t>
      </w:r>
      <w:r>
        <w:rPr>
          <w:color w:val="000000"/>
          <w:sz w:val="28"/>
          <w:szCs w:val="28"/>
          <w:lang w:val="uk-UA"/>
        </w:rPr>
        <w:t>у</w:t>
      </w:r>
    </w:p>
    <w:p w:rsidR="00AF67F8" w:rsidRDefault="00AF67F8" w:rsidP="00AF67F8">
      <w:pPr>
        <w:tabs>
          <w:tab w:val="left" w:pos="2610"/>
        </w:tabs>
        <w:spacing w:after="0" w:line="0" w:lineRule="atLeast"/>
        <w:ind w:left="360"/>
        <w:jc w:val="center"/>
        <w:rPr>
          <w:color w:val="000000"/>
          <w:sz w:val="28"/>
          <w:szCs w:val="28"/>
          <w:lang w:val="uk-UA"/>
        </w:rPr>
      </w:pPr>
      <w:r w:rsidRPr="005762FB">
        <w:rPr>
          <w:color w:val="000000"/>
          <w:sz w:val="28"/>
          <w:szCs w:val="28"/>
        </w:rPr>
        <w:t xml:space="preserve"> „</w:t>
      </w:r>
      <w:proofErr w:type="spellStart"/>
      <w:r w:rsidRPr="005762FB">
        <w:rPr>
          <w:color w:val="000000"/>
          <w:sz w:val="28"/>
          <w:szCs w:val="28"/>
        </w:rPr>
        <w:t>Захист</w:t>
      </w:r>
      <w:proofErr w:type="spellEnd"/>
      <w:proofErr w:type="gramStart"/>
      <w:r w:rsidRPr="005762FB">
        <w:rPr>
          <w:color w:val="000000"/>
          <w:sz w:val="28"/>
          <w:szCs w:val="28"/>
        </w:rPr>
        <w:t xml:space="preserve"> </w:t>
      </w:r>
      <w:proofErr w:type="spellStart"/>
      <w:r w:rsidRPr="005762FB">
        <w:rPr>
          <w:color w:val="000000"/>
          <w:sz w:val="28"/>
          <w:szCs w:val="28"/>
        </w:rPr>
        <w:t>В</w:t>
      </w:r>
      <w:proofErr w:type="gramEnd"/>
      <w:r w:rsidRPr="005762FB">
        <w:rPr>
          <w:color w:val="000000"/>
          <w:sz w:val="28"/>
          <w:szCs w:val="28"/>
        </w:rPr>
        <w:t>і</w:t>
      </w:r>
      <w:r w:rsidRPr="005762FB">
        <w:rPr>
          <w:color w:val="000000"/>
          <w:sz w:val="28"/>
          <w:szCs w:val="28"/>
        </w:rPr>
        <w:t>т</w:t>
      </w:r>
      <w:r w:rsidRPr="005762FB">
        <w:rPr>
          <w:color w:val="000000"/>
          <w:sz w:val="28"/>
          <w:szCs w:val="28"/>
        </w:rPr>
        <w:t>чизни</w:t>
      </w:r>
      <w:proofErr w:type="spellEnd"/>
      <w:r w:rsidRPr="005762FB">
        <w:rPr>
          <w:color w:val="000000"/>
          <w:sz w:val="28"/>
          <w:szCs w:val="28"/>
        </w:rPr>
        <w:t>”</w:t>
      </w:r>
    </w:p>
    <w:p w:rsidR="00AF67F8" w:rsidRPr="00231783" w:rsidRDefault="00AF67F8" w:rsidP="00AF67F8">
      <w:pPr>
        <w:tabs>
          <w:tab w:val="left" w:pos="2610"/>
        </w:tabs>
        <w:spacing w:after="0" w:line="0" w:lineRule="atLeast"/>
        <w:ind w:left="360"/>
        <w:jc w:val="center"/>
        <w:rPr>
          <w:color w:val="000000"/>
          <w:sz w:val="28"/>
          <w:szCs w:val="28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3"/>
        <w:gridCol w:w="7512"/>
      </w:tblGrid>
      <w:tr w:rsidR="00AF67F8" w:rsidRPr="00231783" w:rsidTr="00AF67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43" w:type="dxa"/>
            <w:vAlign w:val="center"/>
          </w:tcPr>
          <w:p w:rsidR="00AF67F8" w:rsidRPr="00231783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1783">
              <w:rPr>
                <w:color w:val="000000"/>
                <w:sz w:val="24"/>
                <w:szCs w:val="24"/>
                <w:lang w:val="uk-UA"/>
              </w:rPr>
              <w:t xml:space="preserve">Рівень </w:t>
            </w:r>
          </w:p>
          <w:p w:rsidR="00AF67F8" w:rsidRPr="00231783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1783">
              <w:rPr>
                <w:color w:val="000000"/>
                <w:sz w:val="24"/>
                <w:szCs w:val="24"/>
                <w:lang w:val="uk-UA"/>
              </w:rPr>
              <w:t>компетен</w:t>
            </w:r>
            <w:r w:rsidRPr="00231783">
              <w:rPr>
                <w:color w:val="000000"/>
                <w:sz w:val="24"/>
                <w:szCs w:val="24"/>
                <w:lang w:val="uk-UA"/>
              </w:rPr>
              <w:t>т</w:t>
            </w:r>
            <w:r w:rsidRPr="00231783">
              <w:rPr>
                <w:color w:val="000000"/>
                <w:sz w:val="24"/>
                <w:szCs w:val="24"/>
                <w:lang w:val="uk-UA"/>
              </w:rPr>
              <w:t>ності</w:t>
            </w:r>
          </w:p>
        </w:tc>
        <w:tc>
          <w:tcPr>
            <w:tcW w:w="993" w:type="dxa"/>
            <w:vAlign w:val="center"/>
          </w:tcPr>
          <w:p w:rsidR="00AF67F8" w:rsidRPr="00231783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1783">
              <w:rPr>
                <w:color w:val="000000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512" w:type="dxa"/>
            <w:vAlign w:val="center"/>
          </w:tcPr>
          <w:p w:rsidR="00AF67F8" w:rsidRPr="00231783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1783">
              <w:rPr>
                <w:color w:val="000000"/>
                <w:sz w:val="24"/>
                <w:szCs w:val="24"/>
                <w:lang w:val="uk-UA"/>
              </w:rPr>
              <w:t>Критерії оцінювання якості знань, умінь і навичок учнів</w:t>
            </w:r>
          </w:p>
        </w:tc>
      </w:tr>
      <w:tr w:rsidR="00AF67F8" w:rsidRPr="00231783" w:rsidTr="00AF67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43" w:type="dxa"/>
          </w:tcPr>
          <w:p w:rsidR="00AF67F8" w:rsidRPr="00231783" w:rsidRDefault="00AF67F8" w:rsidP="00AF67F8">
            <w:pPr>
              <w:tabs>
                <w:tab w:val="left" w:pos="2610"/>
              </w:tabs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78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AF67F8" w:rsidRPr="00231783" w:rsidRDefault="00AF67F8" w:rsidP="00AF67F8">
            <w:pPr>
              <w:tabs>
                <w:tab w:val="left" w:pos="2610"/>
              </w:tabs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783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512" w:type="dxa"/>
          </w:tcPr>
          <w:p w:rsidR="00AF67F8" w:rsidRPr="00231783" w:rsidRDefault="00AF67F8" w:rsidP="00AF67F8">
            <w:pPr>
              <w:tabs>
                <w:tab w:val="left" w:pos="2610"/>
              </w:tabs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783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AF67F8" w:rsidRPr="005762FB" w:rsidTr="00AF6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vAlign w:val="center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І. Низький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br/>
              <w:t xml:space="preserve"> р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і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вень</w:t>
            </w:r>
          </w:p>
        </w:tc>
        <w:tc>
          <w:tcPr>
            <w:tcW w:w="993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512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Учень може розрізняти об’єкт вивчення і відтворити д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е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які його елементи. Володіє навчальним матеріалом на рівні елементарного розпізнавання і відтворення окремих фактів, елементів, об’єктів, що відтворюються учнем окремими словами чи реченнями з постійною допом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о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гою викладача, виконує лише фрагменти практичних завдань</w:t>
            </w:r>
          </w:p>
        </w:tc>
      </w:tr>
      <w:tr w:rsidR="00AF67F8" w:rsidRPr="005762FB" w:rsidTr="00AF6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512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Учень фрагментарно відтворює незначну частину навчального матеріалу, має поверхові уявлення про об’єкт вивчення, виявляє здатність викласти думку на елементарному рівні, має елементарні навички, практи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ч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ні завдання виконує лише з допомогою викладача</w:t>
            </w:r>
          </w:p>
        </w:tc>
      </w:tr>
      <w:tr w:rsidR="00AF67F8" w:rsidRPr="005762FB" w:rsidTr="00AF6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512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Учень відтворює менше половини навчального матеріалу, за допомогою викладача виконує елементарні з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а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вдання, розрізняє елементи техніки виконання нормат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и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вних вимог і здатний виконати незначну їх частину</w:t>
            </w:r>
          </w:p>
        </w:tc>
      </w:tr>
      <w:tr w:rsidR="00AF67F8" w:rsidRPr="005762FB" w:rsidTr="00AF6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vAlign w:val="center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 xml:space="preserve">ІІ. Середній </w:t>
            </w:r>
          </w:p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р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і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вень</w:t>
            </w:r>
          </w:p>
        </w:tc>
        <w:tc>
          <w:tcPr>
            <w:tcW w:w="993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512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Учень знає близько половини навчального матеріалу, здатний відтворювати його не в повному обсязі відпові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д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но до тексту підручника або пояснення викладача, його вміння і навички дають змогу виконувати практичні дії на рівні нижчої межі середнього рівня нормативного ч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а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су</w:t>
            </w:r>
          </w:p>
        </w:tc>
      </w:tr>
      <w:tr w:rsidR="00AF67F8" w:rsidRPr="005762FB" w:rsidTr="00AF6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vAlign w:val="center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512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Учень розуміє основний навчальний матеріал, здатний дати визначення понять, але допускає помилки. За допомогою викладача може логічно відтворювати значну й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о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го частину, його уміння і навички дають змогу виконув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а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ти практичні дії на рівні середньої межі нормативного часу</w:t>
            </w:r>
          </w:p>
        </w:tc>
      </w:tr>
      <w:tr w:rsidR="00AF67F8" w:rsidRPr="005762FB" w:rsidTr="00AF6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vAlign w:val="center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512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Учень виявляє знання і розуміння основних положень навчального матеріалу, відповіді його правильні, він м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о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же відтворити значну частину теоретичного матеріалу, за допомогою викладача може його аналізувати, порівн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ю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вати та робити висновки, здатний виконувати контрольні нормативи на рівні вищої межі середнього нормативного часу</w:t>
            </w:r>
          </w:p>
        </w:tc>
      </w:tr>
      <w:tr w:rsidR="00AF67F8" w:rsidRPr="005762FB" w:rsidTr="00AF6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vAlign w:val="center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lastRenderedPageBreak/>
              <w:t>Ш. Достатній р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і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вень</w:t>
            </w:r>
          </w:p>
        </w:tc>
        <w:tc>
          <w:tcPr>
            <w:tcW w:w="993" w:type="dxa"/>
            <w:vAlign w:val="center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512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Учень виявляє знання і розуміння переважної більшості навчального матеріалу, здатний застосовувати його на рівні стандартних вимог, частково контролювати власні навчальні дії, рівень практичних умінь  і навичок дає змогу виконувати нормативи на рівні нижчої межі достатнь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о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го нормативного часу</w:t>
            </w:r>
          </w:p>
        </w:tc>
      </w:tr>
      <w:tr w:rsidR="00AF67F8" w:rsidRPr="005762FB" w:rsidTr="00AF6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vAlign w:val="center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512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Знання учня достатньо повні,  він вільно застосовує вивчений матеріал у стандартних ситуаціях, вміє аналізувати, робити висновки. Самостійно застосовує теоретичні знання для виконання практичних завдань. Вик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о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нує нормативи на рівні середньої межі достатнього нормативного часу.</w:t>
            </w:r>
          </w:p>
        </w:tc>
      </w:tr>
      <w:tr w:rsidR="00AF67F8" w:rsidRPr="005762FB" w:rsidTr="00AF6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vAlign w:val="center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512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Учень вільно володіє  вивченим матеріалом, вміє уз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а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гальнювати інформацію, застосовує її на практиці, рівень умінь і навичок при виконанні нормативів відповідає вищій межі достатнього норм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а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тивного часу</w:t>
            </w:r>
          </w:p>
        </w:tc>
      </w:tr>
      <w:tr w:rsidR="00AF67F8" w:rsidRPr="005762FB" w:rsidTr="00AF6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vAlign w:val="center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ІУ. Високий рівень</w:t>
            </w:r>
          </w:p>
        </w:tc>
        <w:tc>
          <w:tcPr>
            <w:tcW w:w="993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512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Учень володіє глибокими, міцними знаннями, здатний використовувати їх у нестандартних ситуаціях. Виявляє творчі здібності, самостійно визначає окремі цілі власної пізнавальної діяльності, знаходить джерела інформації та самостійно використовує їх при вирішенні поставлених завдань. Нормативи виконує на рівні нижчої межі вис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о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кого рівня</w:t>
            </w:r>
          </w:p>
        </w:tc>
      </w:tr>
      <w:tr w:rsidR="00AF67F8" w:rsidRPr="005762FB" w:rsidTr="00AF6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512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Учень володіє узагальненими знаннями з предмета, віл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ь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но висловлює власні думки, визначає програму особистої пізнавальної діяльності без допомоги викладача знах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о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дить джерела інформації і використовує одержані від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о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мості відповідно до мети та завдань власної пізнавальної діяльності. Нормативи виконує на рівні середньої межі високого нормати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в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ного часу</w:t>
            </w:r>
          </w:p>
        </w:tc>
      </w:tr>
      <w:tr w:rsidR="00AF67F8" w:rsidRPr="005762FB" w:rsidTr="00AF6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512" w:type="dxa"/>
          </w:tcPr>
          <w:p w:rsidR="00AF67F8" w:rsidRPr="005762FB" w:rsidRDefault="00AF67F8" w:rsidP="00AF67F8">
            <w:pPr>
              <w:tabs>
                <w:tab w:val="left" w:pos="2610"/>
              </w:tabs>
              <w:spacing w:after="0" w:line="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62FB">
              <w:rPr>
                <w:color w:val="000000"/>
                <w:sz w:val="28"/>
                <w:szCs w:val="28"/>
                <w:lang w:val="uk-UA"/>
              </w:rPr>
              <w:t>Учень має системні знання, виявляє здатність приймати творчі рішення, самостійно розвиває власні обдарування і нахили, вміє самостійно здобувати знання, рівень умінь і навичок дає змогу виконувати нормативи на бездога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н</w:t>
            </w:r>
            <w:r w:rsidRPr="005762FB">
              <w:rPr>
                <w:color w:val="000000"/>
                <w:sz w:val="28"/>
                <w:szCs w:val="28"/>
                <w:lang w:val="uk-UA"/>
              </w:rPr>
              <w:t>ному рівні та зі значним перевищенням високого рівня нормативного часу</w:t>
            </w:r>
          </w:p>
        </w:tc>
      </w:tr>
    </w:tbl>
    <w:p w:rsidR="00AF67F8" w:rsidRPr="005762FB" w:rsidRDefault="00AF67F8" w:rsidP="00AF67F8">
      <w:pPr>
        <w:tabs>
          <w:tab w:val="left" w:pos="2610"/>
        </w:tabs>
        <w:spacing w:after="0" w:line="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000000" w:rsidRDefault="00AF67F8" w:rsidP="00AF67F8">
      <w:pPr>
        <w:spacing w:after="0" w:line="0" w:lineRule="atLeast"/>
      </w:pPr>
    </w:p>
    <w:sectPr w:rsidR="00000000" w:rsidSect="00AF67F8">
      <w:footerReference w:type="even" r:id="rId7"/>
      <w:footerReference w:type="default" r:id="rId8"/>
      <w:pgSz w:w="11906" w:h="16838"/>
      <w:pgMar w:top="851" w:right="1134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F8" w:rsidRDefault="00AF67F8" w:rsidP="00AF67F8">
      <w:pPr>
        <w:spacing w:after="0" w:line="240" w:lineRule="auto"/>
      </w:pPr>
      <w:r>
        <w:separator/>
      </w:r>
    </w:p>
  </w:endnote>
  <w:endnote w:type="continuationSeparator" w:id="1">
    <w:p w:rsidR="00AF67F8" w:rsidRDefault="00AF67F8" w:rsidP="00AF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20" w:rsidRDefault="00AF67F8" w:rsidP="002317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920" w:rsidRDefault="00AF67F8" w:rsidP="002317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20" w:rsidRDefault="00AF67F8" w:rsidP="002317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2920" w:rsidRDefault="00AF67F8" w:rsidP="002317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F8" w:rsidRDefault="00AF67F8" w:rsidP="00AF67F8">
      <w:pPr>
        <w:spacing w:after="0" w:line="240" w:lineRule="auto"/>
      </w:pPr>
      <w:r>
        <w:separator/>
      </w:r>
    </w:p>
  </w:footnote>
  <w:footnote w:type="continuationSeparator" w:id="1">
    <w:p w:rsidR="00AF67F8" w:rsidRDefault="00AF67F8" w:rsidP="00AF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3DA2"/>
    <w:multiLevelType w:val="hybridMultilevel"/>
    <w:tmpl w:val="B8EE0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67F8"/>
    <w:rsid w:val="00A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Нижний колонтитул Знак"/>
    <w:basedOn w:val="a0"/>
    <w:link w:val="a3"/>
    <w:rsid w:val="00AF67F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page number"/>
    <w:basedOn w:val="a0"/>
    <w:rsid w:val="00AF67F8"/>
  </w:style>
  <w:style w:type="paragraph" w:styleId="a6">
    <w:name w:val="header"/>
    <w:basedOn w:val="a"/>
    <w:link w:val="a7"/>
    <w:uiPriority w:val="99"/>
    <w:semiHidden/>
    <w:unhideWhenUsed/>
    <w:rsid w:val="00AF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2020-02-11T17:44:00Z</dcterms:created>
  <dcterms:modified xsi:type="dcterms:W3CDTF">2020-02-11T17:46:00Z</dcterms:modified>
</cp:coreProperties>
</file>