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C4" w:rsidRPr="00A326C4" w:rsidRDefault="00A326C4" w:rsidP="00A32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26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КРИТЕРІЇ ОЦІНЮВАННЯ НАВЧАЛЬНИХ ДОСЯГНЕНЬ УЧНІВ </w:t>
      </w:r>
      <w:proofErr w:type="gramStart"/>
      <w:r w:rsidRPr="00A326C4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A326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ПРАВОЗНАВСТВА У СИСТЕМІ ЗАГАЛЬНОЇ ОСВІТИ</w:t>
      </w:r>
    </w:p>
    <w:p w:rsidR="00A326C4" w:rsidRPr="00A326C4" w:rsidRDefault="00A326C4" w:rsidP="00A326C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26C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326C4">
        <w:rPr>
          <w:rFonts w:ascii="Times New Roman" w:eastAsia="Times New Roman" w:hAnsi="Times New Roman" w:cs="Times New Roman"/>
          <w:sz w:val="24"/>
          <w:szCs w:val="24"/>
        </w:rPr>
        <w:t>ід час оцінювання навчальних досягнень із правознавства враховується:</w:t>
      </w:r>
    </w:p>
    <w:p w:rsidR="00A326C4" w:rsidRPr="00A326C4" w:rsidRDefault="00A326C4" w:rsidP="00A326C4">
      <w:pPr>
        <w:numPr>
          <w:ilvl w:val="0"/>
          <w:numId w:val="1"/>
        </w:numPr>
        <w:shd w:val="clear" w:color="auto" w:fill="FFFFFF"/>
        <w:spacing w:before="44"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26C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326C4">
        <w:rPr>
          <w:rFonts w:ascii="Times New Roman" w:eastAsia="Times New Roman" w:hAnsi="Times New Roman" w:cs="Times New Roman"/>
          <w:sz w:val="24"/>
          <w:szCs w:val="24"/>
        </w:rPr>
        <w:t>івень оволодіння знаннями про систему об'єктивно існуючих державно-правових реалій;</w:t>
      </w:r>
    </w:p>
    <w:p w:rsidR="00A326C4" w:rsidRPr="00A326C4" w:rsidRDefault="00A326C4" w:rsidP="00A326C4">
      <w:pPr>
        <w:numPr>
          <w:ilvl w:val="0"/>
          <w:numId w:val="1"/>
        </w:numPr>
        <w:shd w:val="clear" w:color="auto" w:fill="FFFFFF"/>
        <w:spacing w:before="44"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26C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326C4">
        <w:rPr>
          <w:rFonts w:ascii="Times New Roman" w:eastAsia="Times New Roman" w:hAnsi="Times New Roman" w:cs="Times New Roman"/>
          <w:sz w:val="24"/>
          <w:szCs w:val="24"/>
        </w:rPr>
        <w:t>івень умінь аналізувати суспільно-політичні події, користуватися правовими актами, юридичною літературою;</w:t>
      </w:r>
    </w:p>
    <w:p w:rsidR="00A326C4" w:rsidRPr="00A326C4" w:rsidRDefault="00A326C4" w:rsidP="00A326C4">
      <w:pPr>
        <w:numPr>
          <w:ilvl w:val="0"/>
          <w:numId w:val="1"/>
        </w:numPr>
        <w:shd w:val="clear" w:color="auto" w:fill="FFFFFF"/>
        <w:spacing w:before="44"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26C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326C4">
        <w:rPr>
          <w:rFonts w:ascii="Times New Roman" w:eastAsia="Times New Roman" w:hAnsi="Times New Roman" w:cs="Times New Roman"/>
          <w:sz w:val="24"/>
          <w:szCs w:val="24"/>
        </w:rPr>
        <w:t>івень сформованості навичок діяти згідно з нормами права в конкретних життєвих ситуаціях.</w:t>
      </w:r>
    </w:p>
    <w:p w:rsidR="00A326C4" w:rsidRPr="00A326C4" w:rsidRDefault="00A326C4" w:rsidP="00A326C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326C4">
        <w:rPr>
          <w:rFonts w:ascii="Times New Roman" w:eastAsia="Times New Roman" w:hAnsi="Times New Roman" w:cs="Times New Roman"/>
          <w:sz w:val="24"/>
          <w:szCs w:val="24"/>
        </w:rPr>
        <w:t xml:space="preserve">Усі види оцінювання навчальних досягнень учнів здійснюються за критеріями, наведеними </w:t>
      </w:r>
      <w:proofErr w:type="gramStart"/>
      <w:r w:rsidRPr="00A326C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326C4">
        <w:rPr>
          <w:rFonts w:ascii="Times New Roman" w:eastAsia="Times New Roman" w:hAnsi="Times New Roman" w:cs="Times New Roman"/>
          <w:sz w:val="24"/>
          <w:szCs w:val="24"/>
        </w:rPr>
        <w:t xml:space="preserve"> таблиці.</w:t>
      </w:r>
    </w:p>
    <w:tbl>
      <w:tblPr>
        <w:tblW w:w="9953" w:type="dxa"/>
        <w:tblInd w:w="-4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9"/>
        <w:gridCol w:w="996"/>
        <w:gridCol w:w="7088"/>
      </w:tblGrid>
      <w:tr w:rsidR="00A326C4" w:rsidRPr="00A326C4" w:rsidTr="00A326C4">
        <w:tc>
          <w:tcPr>
            <w:tcW w:w="1869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івні навчальних досягнень</w:t>
            </w: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70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Критерії навчальних досягнень учнів</w:t>
            </w:r>
          </w:p>
        </w:tc>
      </w:tr>
      <w:tr w:rsidR="00A326C4" w:rsidRPr="00A326C4" w:rsidTr="00A326C4">
        <w:tc>
          <w:tcPr>
            <w:tcW w:w="1869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І. Початковий</w:t>
            </w: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усно в загальних рисах відтворює один-два юридичні терміни окремої теми</w:t>
            </w:r>
          </w:p>
        </w:tc>
      </w:tr>
      <w:tr w:rsidR="00A326C4" w:rsidRPr="00A326C4" w:rsidTr="00A326C4">
        <w:tc>
          <w:tcPr>
            <w:tcW w:w="1869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Учень (учениця) на </w:t>
            </w:r>
            <w:proofErr w:type="gramStart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івні «так-ні» усно відтворює кілька термінів, вибирає правильний варіант відповіді із двох запропонованих</w:t>
            </w:r>
          </w:p>
        </w:tc>
      </w:tr>
      <w:tr w:rsidR="00A326C4" w:rsidRPr="00A326C4" w:rsidTr="00A326C4">
        <w:tc>
          <w:tcPr>
            <w:tcW w:w="1869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одним простим реченням передає змі</w:t>
            </w:r>
            <w:proofErr w:type="gramStart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частини теми, знаходить відповідь на закрите запитання в тексті підручника</w:t>
            </w:r>
          </w:p>
        </w:tc>
      </w:tr>
      <w:tr w:rsidR="00A326C4" w:rsidRPr="00A326C4" w:rsidTr="00A326C4">
        <w:tc>
          <w:tcPr>
            <w:tcW w:w="1869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ІІ. Середній</w:t>
            </w: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Учень (учениця) відповідає на окреме запитання за допомогою вчителя, репродуктивно відтворює частину навчального </w:t>
            </w:r>
            <w:proofErr w:type="gramStart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іалу теми одним-двома простими реченнями, формулює визначення юридичного поняття</w:t>
            </w:r>
          </w:p>
        </w:tc>
      </w:tr>
      <w:tr w:rsidR="00A326C4" w:rsidRPr="00A326C4" w:rsidTr="00A326C4">
        <w:tc>
          <w:tcPr>
            <w:tcW w:w="1869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tabs>
                <w:tab w:val="left" w:pos="147"/>
                <w:tab w:val="left" w:pos="1831"/>
              </w:tabs>
              <w:spacing w:after="0" w:line="240" w:lineRule="auto"/>
              <w:ind w:right="-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відтворює окрему частину основного змісту навчальної теми, відповідаючи на запитання вчителя, визначає одну-дві окремі ознаки правових понять</w:t>
            </w:r>
          </w:p>
        </w:tc>
      </w:tr>
      <w:tr w:rsidR="00A326C4" w:rsidRPr="00A326C4" w:rsidTr="00A326C4">
        <w:tc>
          <w:tcPr>
            <w:tcW w:w="1869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Учень (учениця) у цілому відтворює частину навчального матеріалу теми, у цілому правильно використовує окремі юридичні терміни, аналізує прості юридичні ситуації, розв'язує тестові завдання першого </w:t>
            </w:r>
            <w:proofErr w:type="gramStart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івня; може користуватися за допомогою вчителя (зразок, пам'ятка) окремими положеннями нормативних актів</w:t>
            </w:r>
          </w:p>
        </w:tc>
      </w:tr>
      <w:tr w:rsidR="00A326C4" w:rsidRPr="00A326C4" w:rsidTr="00A326C4">
        <w:tc>
          <w:tcPr>
            <w:tcW w:w="1869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ІII. Достатній</w:t>
            </w: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самостійно відтворює окрему частину теми, застосовуючи мінімальну юридичну термінологію, уміє дати визначення понять, аналізує змі</w:t>
            </w:r>
            <w:proofErr w:type="gramStart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правових документів за простим планом, розв'язує елементарні юридичні задачі за допомогою вчителя, знаходить окремі правові норми в тексті нормативних актів</w:t>
            </w:r>
          </w:p>
        </w:tc>
      </w:tr>
      <w:tr w:rsidR="00A326C4" w:rsidRPr="00A326C4" w:rsidTr="00A326C4">
        <w:tc>
          <w:tcPr>
            <w:tcW w:w="1869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в основному володіє навчальним матері</w:t>
            </w:r>
            <w:proofErr w:type="gramStart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алом</w:t>
            </w:r>
            <w:proofErr w:type="gramEnd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використовує знання за аналогією; може співставляти, узагальнювати інформацію за допомогою учителя; складати прості таблиці, схеми, аналізувати положення нормативно-правового акта за допомогою вчителя</w:t>
            </w:r>
          </w:p>
        </w:tc>
      </w:tr>
      <w:tr w:rsidR="00A326C4" w:rsidRPr="00A326C4" w:rsidTr="00A326C4">
        <w:tc>
          <w:tcPr>
            <w:tcW w:w="1869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Учень (учениця) оперує вивченим матеріалом на </w:t>
            </w:r>
            <w:proofErr w:type="gramStart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івні теми, може самостійно його відтворювати, аналізувати положення нормативно-правових актів, підтверджувати одним-двома </w:t>
            </w:r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аргументами висловлене ним судження про правове явище; самостійно розв'язувати юридичні задачі середнього рівня складності</w:t>
            </w:r>
          </w:p>
        </w:tc>
      </w:tr>
      <w:tr w:rsidR="00A326C4" w:rsidRPr="00A326C4" w:rsidTr="00A326C4">
        <w:tc>
          <w:tcPr>
            <w:tcW w:w="1869" w:type="dxa"/>
            <w:vMerge w:val="restart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Високий</w:t>
            </w: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Учень (учениця) вільно викладає правові питання, застосовуючи необхідну юридичну термінологію; уміє вирішувати за допомогою вчителя тестові завдання вищого </w:t>
            </w:r>
            <w:proofErr w:type="gramStart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івня; самостійно складати таблиці, структурно-логічні схеми з правових питань, аналізувати правові ситуації, дати відгук (рецензію) на відповідь іншого учня</w:t>
            </w:r>
          </w:p>
        </w:tc>
      </w:tr>
      <w:tr w:rsidR="00A326C4" w:rsidRPr="00A326C4" w:rsidTr="00A326C4">
        <w:tc>
          <w:tcPr>
            <w:tcW w:w="1869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Учень (учениця) володіє глибокими знаннями, може вільно висловлювати власні судження та аргументує їх, самостійно користується окремими джерелами права; може </w:t>
            </w:r>
            <w:proofErr w:type="gramStart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ідготувати повідомлення з юридичної тематики; самостійно вирішує тестові завдання вищого рівня та певні правові ситуації, може використовувати інформацію з додаткової літератури (використання додаткової літератури не є обов'язковою вимогою)</w:t>
            </w:r>
          </w:p>
        </w:tc>
      </w:tr>
      <w:tr w:rsidR="00A326C4" w:rsidRPr="00A326C4" w:rsidTr="00A326C4">
        <w:tc>
          <w:tcPr>
            <w:tcW w:w="1869" w:type="dxa"/>
            <w:vMerge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vAlign w:val="center"/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44" w:type="dxa"/>
              <w:left w:w="222" w:type="dxa"/>
              <w:bottom w:w="44" w:type="dxa"/>
              <w:right w:w="222" w:type="dxa"/>
            </w:tcMar>
            <w:hideMark/>
          </w:tcPr>
          <w:p w:rsidR="00A326C4" w:rsidRPr="00A326C4" w:rsidRDefault="00A326C4" w:rsidP="00A3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Учень (учениця) ґрунтовно викладає правові питання, висловлює власну позицію й переконливо її аргументу</w:t>
            </w:r>
            <w:proofErr w:type="gramStart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>є;</w:t>
            </w:r>
            <w:proofErr w:type="gramEnd"/>
            <w:r w:rsidRPr="00A32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самостійно знаходить, оцінює та використовує джерела юридичної інформації, зокрема наочні, уміє узагальнити вивчений матеріал, використовує набуті знання й уміння у практичній урочній діяльності (участь у дискусіях, засіданнях «круглих столів» тощо); може самостійно вирішувати юридичні задачі, застосовуючи правові знання</w:t>
            </w:r>
          </w:p>
        </w:tc>
      </w:tr>
    </w:tbl>
    <w:p w:rsidR="00000000" w:rsidRPr="00A326C4" w:rsidRDefault="00A326C4" w:rsidP="00A32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A3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106AB"/>
    <w:multiLevelType w:val="multilevel"/>
    <w:tmpl w:val="6E28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dirty" w:grammar="clean"/>
  <w:defaultTabStop w:val="708"/>
  <w:characterSpacingControl w:val="doNotCompress"/>
  <w:compat>
    <w:useFELayout/>
  </w:compat>
  <w:rsids>
    <w:rsidRoot w:val="00A326C4"/>
    <w:rsid w:val="00A3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26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9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2020-02-03T19:37:00Z</cp:lastPrinted>
  <dcterms:created xsi:type="dcterms:W3CDTF">2020-02-03T19:34:00Z</dcterms:created>
  <dcterms:modified xsi:type="dcterms:W3CDTF">2020-02-03T19:37:00Z</dcterms:modified>
</cp:coreProperties>
</file>