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F8" w:rsidRDefault="00AF67F8" w:rsidP="00AF67F8">
      <w:pPr>
        <w:numPr>
          <w:ilvl w:val="0"/>
          <w:numId w:val="1"/>
        </w:numPr>
        <w:tabs>
          <w:tab w:val="left" w:pos="2610"/>
        </w:tabs>
        <w:spacing w:after="0" w:line="0" w:lineRule="atLeast"/>
        <w:jc w:val="center"/>
        <w:rPr>
          <w:color w:val="000000"/>
          <w:sz w:val="28"/>
          <w:szCs w:val="28"/>
          <w:lang w:val="uk-UA"/>
        </w:rPr>
      </w:pPr>
      <w:proofErr w:type="spellStart"/>
      <w:r w:rsidRPr="005762FB">
        <w:rPr>
          <w:color w:val="000000"/>
          <w:sz w:val="28"/>
          <w:szCs w:val="28"/>
        </w:rPr>
        <w:t>Критерії</w:t>
      </w:r>
      <w:proofErr w:type="spellEnd"/>
      <w:r w:rsidRPr="005762FB">
        <w:rPr>
          <w:color w:val="000000"/>
          <w:sz w:val="28"/>
          <w:szCs w:val="28"/>
        </w:rPr>
        <w:t xml:space="preserve"> </w:t>
      </w:r>
      <w:proofErr w:type="spellStart"/>
      <w:r w:rsidRPr="005762FB">
        <w:rPr>
          <w:color w:val="000000"/>
          <w:sz w:val="28"/>
          <w:szCs w:val="28"/>
        </w:rPr>
        <w:t>оцінювання</w:t>
      </w:r>
      <w:proofErr w:type="spellEnd"/>
      <w:r w:rsidRPr="005762FB">
        <w:rPr>
          <w:color w:val="000000"/>
          <w:sz w:val="28"/>
          <w:szCs w:val="28"/>
        </w:rPr>
        <w:t xml:space="preserve"> </w:t>
      </w:r>
      <w:proofErr w:type="spellStart"/>
      <w:r w:rsidRPr="005762FB">
        <w:rPr>
          <w:color w:val="000000"/>
          <w:sz w:val="28"/>
          <w:szCs w:val="28"/>
        </w:rPr>
        <w:t>навча</w:t>
      </w:r>
      <w:r>
        <w:rPr>
          <w:color w:val="000000"/>
          <w:sz w:val="28"/>
          <w:szCs w:val="28"/>
        </w:rPr>
        <w:t>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  <w:lang w:val="uk-UA"/>
        </w:rPr>
        <w:t>у</w:t>
      </w:r>
    </w:p>
    <w:p w:rsidR="00AF67F8" w:rsidRDefault="00AF67F8" w:rsidP="00AF67F8">
      <w:pPr>
        <w:tabs>
          <w:tab w:val="left" w:pos="2610"/>
        </w:tabs>
        <w:spacing w:after="0" w:line="0" w:lineRule="atLeast"/>
        <w:ind w:left="360"/>
        <w:jc w:val="center"/>
        <w:rPr>
          <w:color w:val="000000"/>
          <w:sz w:val="28"/>
          <w:szCs w:val="28"/>
          <w:lang w:val="uk-UA"/>
        </w:rPr>
      </w:pPr>
      <w:r w:rsidRPr="005762FB">
        <w:rPr>
          <w:color w:val="000000"/>
          <w:sz w:val="28"/>
          <w:szCs w:val="28"/>
        </w:rPr>
        <w:t xml:space="preserve"> „</w:t>
      </w:r>
      <w:proofErr w:type="spellStart"/>
      <w:r w:rsidRPr="005762FB">
        <w:rPr>
          <w:color w:val="000000"/>
          <w:sz w:val="28"/>
          <w:szCs w:val="28"/>
        </w:rPr>
        <w:t>Захист</w:t>
      </w:r>
      <w:proofErr w:type="spellEnd"/>
      <w:proofErr w:type="gramStart"/>
      <w:r w:rsidRPr="005762FB">
        <w:rPr>
          <w:color w:val="000000"/>
          <w:sz w:val="28"/>
          <w:szCs w:val="28"/>
        </w:rPr>
        <w:t xml:space="preserve"> </w:t>
      </w:r>
      <w:proofErr w:type="spellStart"/>
      <w:r w:rsidRPr="005762FB">
        <w:rPr>
          <w:color w:val="000000"/>
          <w:sz w:val="28"/>
          <w:szCs w:val="28"/>
        </w:rPr>
        <w:t>В</w:t>
      </w:r>
      <w:proofErr w:type="gramEnd"/>
      <w:r w:rsidRPr="005762FB">
        <w:rPr>
          <w:color w:val="000000"/>
          <w:sz w:val="28"/>
          <w:szCs w:val="28"/>
        </w:rPr>
        <w:t>і</w:t>
      </w:r>
      <w:r w:rsidRPr="005762FB">
        <w:rPr>
          <w:color w:val="000000"/>
          <w:sz w:val="28"/>
          <w:szCs w:val="28"/>
        </w:rPr>
        <w:t>т</w:t>
      </w:r>
      <w:r w:rsidRPr="005762FB">
        <w:rPr>
          <w:color w:val="000000"/>
          <w:sz w:val="28"/>
          <w:szCs w:val="28"/>
        </w:rPr>
        <w:t>чизни</w:t>
      </w:r>
      <w:proofErr w:type="spellEnd"/>
      <w:r w:rsidRPr="005762FB">
        <w:rPr>
          <w:color w:val="000000"/>
          <w:sz w:val="28"/>
          <w:szCs w:val="28"/>
        </w:rPr>
        <w:t>”</w:t>
      </w:r>
    </w:p>
    <w:p w:rsidR="00AF67F8" w:rsidRPr="00231783" w:rsidRDefault="00AF67F8" w:rsidP="00AF67F8">
      <w:pPr>
        <w:tabs>
          <w:tab w:val="left" w:pos="2610"/>
        </w:tabs>
        <w:spacing w:after="0" w:line="0" w:lineRule="atLeast"/>
        <w:ind w:left="360"/>
        <w:jc w:val="center"/>
        <w:rPr>
          <w:color w:val="000000"/>
          <w:sz w:val="28"/>
          <w:szCs w:val="28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3"/>
        <w:gridCol w:w="7512"/>
      </w:tblGrid>
      <w:tr w:rsidR="00AF67F8" w:rsidRPr="00231783" w:rsidTr="00AF67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  <w:vAlign w:val="center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 xml:space="preserve">Рівень </w:t>
            </w:r>
          </w:p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компетен</w:t>
            </w:r>
            <w:r w:rsidRPr="00231783">
              <w:rPr>
                <w:color w:val="000000"/>
                <w:sz w:val="24"/>
                <w:szCs w:val="24"/>
                <w:lang w:val="uk-UA"/>
              </w:rPr>
              <w:t>т</w:t>
            </w:r>
            <w:r w:rsidRPr="00231783">
              <w:rPr>
                <w:color w:val="000000"/>
                <w:sz w:val="24"/>
                <w:szCs w:val="24"/>
                <w:lang w:val="uk-UA"/>
              </w:rPr>
              <w:t>ності</w:t>
            </w:r>
          </w:p>
        </w:tc>
        <w:tc>
          <w:tcPr>
            <w:tcW w:w="993" w:type="dxa"/>
            <w:vAlign w:val="center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7512" w:type="dxa"/>
            <w:vAlign w:val="center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Критерії оцінювання якості знань, умінь і навичок учнів</w:t>
            </w:r>
          </w:p>
        </w:tc>
      </w:tr>
      <w:tr w:rsidR="00AF67F8" w:rsidRPr="00231783" w:rsidTr="00AF67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12" w:type="dxa"/>
          </w:tcPr>
          <w:p w:rsidR="00AF67F8" w:rsidRPr="00231783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1783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І. Низький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br/>
              <w:t xml:space="preserve"> р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може розрізняти об’єкт вивчення і відтворити д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е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які його елементи. Володіє навчальним матеріалом на рівні елементарного розпізнавання і відтворення окремих фактів, елементів, об’єктів, що відтворюються учнем окремими словами чи реченнями з постійною допом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гою викладача, виконує лише фрагменти практичних завдань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фрагментарно відтворює незначну частину навчального матеріалу, має поверхові уявлення про об’єкт вивчення, виявляє здатність викласти думку на елементарному рівні, має елементарні навички, практи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ч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ні завдання виконує лише з допомогою викладача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відтворює менше половини навчального матеріалу, за допомогою викладача виконує елементарні з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вдання, розрізняє елементи техніки виконання нормат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и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вних вимог і здатний виконати незначну їх частину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 xml:space="preserve">ІІ. Середній </w:t>
            </w:r>
          </w:p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р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знає близько половини навчального матеріалу, здатний відтворювати його не в повному обсязі відпові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д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но до тексту підручника або пояснення викладача, його вміння і навички дають змогу виконувати практичні дії на рівні нижчої межі середнього рівня нормативного ч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розуміє основний навчальний матеріал, здатний дати визначення понять, але допускає помилки. За допомогою викладача може логічно відтворювати значну й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го частину, його уміння і навички дають змогу виконув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ти практичні дії на рівні середньої межі нормативного часу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виявляє знання і розуміння основних положень навчального матеріалу, відповіді його правильні, він м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же відтворити значну частину теоретичного матеріалу, за допомогою викладача може його аналізувати, порівн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ю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вати та робити висновки, здатний виконувати контрольні нормативи на рівні вищої межі середнього нормативного часу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lastRenderedPageBreak/>
              <w:t>Ш. Достатній р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993" w:type="dxa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дії, рівень практичних умінь  і навичок дає змогу виконувати нормативи на рівні нижчої межі достатнь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го нормативного часу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Знання учня достатньо повні, 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 Вик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нує нормативи на рівні середньої межі достатнього нормативного часу.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вільно володіє  вивченим матеріалом, вміє уз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гальнювати інформацію, застосовує її на практиці, рівень умінь і навичок при виконанні нормативів відповідає вищій межі достатнього норм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тивного часу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ІУ. Високий рівень</w:t>
            </w: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 Нормативи виконує на рівні нижчої межі вис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кого рівня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володіє узагальненими знаннями з предмета, віл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ь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но висловлює власні думки, визначає програму особистої пізнавальної діяльності без допомоги викладача знах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дить джерела інформації і використовує одержані від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мості відповідно до мети та завдань власної пізнавальної діяльності. Нормативи виконує на рівні середньої межі високого нормати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в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ного часу</w:t>
            </w:r>
          </w:p>
        </w:tc>
      </w:tr>
      <w:tr w:rsidR="00AF67F8" w:rsidRPr="005762FB" w:rsidTr="00AF6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512" w:type="dxa"/>
          </w:tcPr>
          <w:p w:rsidR="00AF67F8" w:rsidRPr="005762FB" w:rsidRDefault="00AF67F8" w:rsidP="00AF67F8">
            <w:pPr>
              <w:tabs>
                <w:tab w:val="left" w:pos="2610"/>
              </w:tabs>
              <w:spacing w:after="0" w:line="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762FB">
              <w:rPr>
                <w:color w:val="000000"/>
                <w:sz w:val="28"/>
                <w:szCs w:val="28"/>
                <w:lang w:val="uk-UA"/>
              </w:rPr>
              <w:t>Учень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</w:t>
            </w:r>
            <w:r w:rsidRPr="005762FB">
              <w:rPr>
                <w:color w:val="000000"/>
                <w:sz w:val="28"/>
                <w:szCs w:val="28"/>
                <w:lang w:val="uk-UA"/>
              </w:rPr>
              <w:t>ному рівні та зі значним перевищенням високого рівня нормативного часу</w:t>
            </w:r>
          </w:p>
        </w:tc>
      </w:tr>
    </w:tbl>
    <w:p w:rsidR="00AF67F8" w:rsidRPr="005762FB" w:rsidRDefault="00AF67F8" w:rsidP="00AF67F8">
      <w:pPr>
        <w:tabs>
          <w:tab w:val="left" w:pos="2610"/>
        </w:tabs>
        <w:spacing w:after="0" w:line="0" w:lineRule="atLeast"/>
        <w:ind w:firstLine="720"/>
        <w:jc w:val="both"/>
        <w:rPr>
          <w:color w:val="000000"/>
          <w:sz w:val="28"/>
          <w:szCs w:val="28"/>
          <w:lang w:val="uk-UA"/>
        </w:rPr>
      </w:pPr>
    </w:p>
    <w:p w:rsidR="00000000" w:rsidRDefault="00AF67F8" w:rsidP="00AF67F8">
      <w:pPr>
        <w:spacing w:after="0" w:line="0" w:lineRule="atLeast"/>
      </w:pPr>
    </w:p>
    <w:sectPr w:rsidR="00000000" w:rsidSect="00AF67F8">
      <w:footerReference w:type="even" r:id="rId7"/>
      <w:footerReference w:type="default" r:id="rId8"/>
      <w:pgSz w:w="11906" w:h="16838"/>
      <w:pgMar w:top="851" w:right="1134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F8" w:rsidRDefault="00AF67F8" w:rsidP="00AF67F8">
      <w:pPr>
        <w:spacing w:after="0" w:line="240" w:lineRule="auto"/>
      </w:pPr>
      <w:r>
        <w:separator/>
      </w:r>
    </w:p>
  </w:endnote>
  <w:endnote w:type="continuationSeparator" w:id="1">
    <w:p w:rsidR="00AF67F8" w:rsidRDefault="00AF67F8" w:rsidP="00AF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20" w:rsidRDefault="00AF67F8" w:rsidP="002317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920" w:rsidRDefault="00AF67F8" w:rsidP="002317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20" w:rsidRDefault="00AF67F8" w:rsidP="002317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2920" w:rsidRDefault="00AF67F8" w:rsidP="002317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F8" w:rsidRDefault="00AF67F8" w:rsidP="00AF67F8">
      <w:pPr>
        <w:spacing w:after="0" w:line="240" w:lineRule="auto"/>
      </w:pPr>
      <w:r>
        <w:separator/>
      </w:r>
    </w:p>
  </w:footnote>
  <w:footnote w:type="continuationSeparator" w:id="1">
    <w:p w:rsidR="00AF67F8" w:rsidRDefault="00AF67F8" w:rsidP="00AF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3DA2"/>
    <w:multiLevelType w:val="hybridMultilevel"/>
    <w:tmpl w:val="B8EE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7F8"/>
    <w:rsid w:val="00A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Нижний колонтитул Знак"/>
    <w:basedOn w:val="a0"/>
    <w:link w:val="a3"/>
    <w:rsid w:val="00AF67F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rsid w:val="00AF67F8"/>
  </w:style>
  <w:style w:type="paragraph" w:styleId="a6">
    <w:name w:val="header"/>
    <w:basedOn w:val="a"/>
    <w:link w:val="a7"/>
    <w:uiPriority w:val="99"/>
    <w:semiHidden/>
    <w:unhideWhenUsed/>
    <w:rsid w:val="00AF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2020-02-11T17:44:00Z</dcterms:created>
  <dcterms:modified xsi:type="dcterms:W3CDTF">2020-02-11T17:46:00Z</dcterms:modified>
</cp:coreProperties>
</file>