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85" w:rsidRPr="00F61F85" w:rsidRDefault="00F61F85" w:rsidP="00F61F85">
      <w:pPr>
        <w:spacing w:after="225" w:line="45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u w:val="single"/>
        </w:rPr>
      </w:pPr>
      <w:r w:rsidRPr="00F61F85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u w:val="single"/>
        </w:rPr>
        <w:t xml:space="preserve">Математика. </w:t>
      </w:r>
      <w:proofErr w:type="spellStart"/>
      <w:r w:rsidRPr="00F61F85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u w:val="single"/>
        </w:rPr>
        <w:t>Критерії</w:t>
      </w:r>
      <w:proofErr w:type="spellEnd"/>
      <w:r w:rsidRPr="00F61F85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u w:val="single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u w:val="single"/>
        </w:rPr>
        <w:t>оцінювання</w:t>
      </w:r>
      <w:proofErr w:type="spellEnd"/>
      <w:r w:rsidRPr="00F61F85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u w:val="single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u w:val="single"/>
        </w:rPr>
        <w:t>навчальних</w:t>
      </w:r>
      <w:proofErr w:type="spellEnd"/>
      <w:r w:rsidRPr="00F61F85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u w:val="single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u w:val="single"/>
        </w:rPr>
        <w:t>досягнень</w:t>
      </w:r>
      <w:proofErr w:type="spellEnd"/>
    </w:p>
    <w:p w:rsidR="00F61F85" w:rsidRPr="00F61F85" w:rsidRDefault="00F61F85" w:rsidP="00F61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КРИТЕРІЇ ОЦІНЮВАННЯ НАВЧАЛЬНИХ ДОСЯГНЕНЬ УЧНІВ </w:t>
      </w:r>
      <w:proofErr w:type="gram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МАТЕМАТИКИ У СИСТЕМІ ЗАГАЛЬНОЇ ОСВІТИ</w:t>
      </w:r>
    </w:p>
    <w:p w:rsidR="00F61F85" w:rsidRPr="00F61F85" w:rsidRDefault="00F61F85" w:rsidP="00F61F85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математики,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ідлягають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оцінюванню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, належать:</w:t>
      </w:r>
    </w:p>
    <w:p w:rsidR="00F61F85" w:rsidRPr="00F61F85" w:rsidRDefault="00F61F85" w:rsidP="00F61F85">
      <w:pPr>
        <w:numPr>
          <w:ilvl w:val="0"/>
          <w:numId w:val="1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теоретичні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стосуються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математичних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понять,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тверджень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теорем,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властивостей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методі</w:t>
      </w:r>
      <w:proofErr w:type="gram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gram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ідей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математики;</w:t>
      </w:r>
    </w:p>
    <w:p w:rsidR="00F61F85" w:rsidRPr="00F61F85" w:rsidRDefault="00F61F85" w:rsidP="00F61F85">
      <w:pPr>
        <w:numPr>
          <w:ilvl w:val="0"/>
          <w:numId w:val="1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стосуються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способів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подати у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(правила,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F61F85" w:rsidRPr="00F61F85" w:rsidRDefault="00F61F85" w:rsidP="00F61F85">
      <w:pPr>
        <w:numPr>
          <w:ilvl w:val="0"/>
          <w:numId w:val="1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безпосередньо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засвоєних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алгоритмів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виконувати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певне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тотожне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перетворення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виразу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розв'язувати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івняння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певного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виду,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виконувати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геометричні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побудови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досліджувати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функцію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монотонність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розв'язувати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розглянутих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типів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F61F85" w:rsidRPr="00F61F85" w:rsidRDefault="00F61F85" w:rsidP="00F61F85">
      <w:pPr>
        <w:numPr>
          <w:ilvl w:val="0"/>
          <w:numId w:val="1"/>
        </w:numPr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застосовувати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набуті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вміння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розв'язання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практичних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задач, коли шлях,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спосіб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такого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розв'язання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попередньо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) самому.</w:t>
      </w:r>
    </w:p>
    <w:p w:rsidR="00F61F85" w:rsidRPr="00F61F85" w:rsidRDefault="00F61F85" w:rsidP="00F61F85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ступеня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оволодіння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зазначеними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знаннями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способами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виокремлюються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івні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школярів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математики:</w:t>
      </w:r>
    </w:p>
    <w:p w:rsidR="00F61F85" w:rsidRPr="00F61F85" w:rsidRDefault="00F61F85" w:rsidP="00F61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Початковий</w:t>
      </w:r>
      <w:proofErr w:type="spellEnd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івень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учениця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називає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математичний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об'єкт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вираз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геометричну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фігуру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символ),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тому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випадку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цей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об'єкт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зображення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характеристика)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запропоновано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їй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безпосередньо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за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виконує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елементарні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1F85" w:rsidRPr="00F61F85" w:rsidRDefault="00F61F85" w:rsidP="00F61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Середній</w:t>
      </w:r>
      <w:proofErr w:type="spellEnd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івень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учениця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повторює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операції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засвоєні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 (нею) у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здатний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(а)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розв'язувати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зразком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1F85" w:rsidRPr="00F61F85" w:rsidRDefault="00F61F85" w:rsidP="00F61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Достатній</w:t>
      </w:r>
      <w:proofErr w:type="spellEnd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івень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учениця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застосовує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стандартних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ситуаціях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вміє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виконувати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математичні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операції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послідовність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(алгоритм)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їй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знайомі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змінені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1F85" w:rsidRPr="00F61F85" w:rsidRDefault="00F61F85" w:rsidP="00F61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Високий</w:t>
      </w:r>
      <w:proofErr w:type="spellEnd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івень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учениця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здатний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(а)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орієнтуватися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нових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нього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неї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ситуаціях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складати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виконувати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пропонувати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нові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невідомі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їй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раніше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розв'язання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тобто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дослідницький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характер.</w:t>
      </w:r>
    </w:p>
    <w:p w:rsidR="00F61F85" w:rsidRPr="00F61F85" w:rsidRDefault="00F61F85" w:rsidP="00F61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математичної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ідготовки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математики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двох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аспектах: </w:t>
      </w:r>
      <w:proofErr w:type="spell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рівень</w:t>
      </w:r>
      <w:proofErr w:type="spellEnd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оволодіння</w:t>
      </w:r>
      <w:proofErr w:type="spellEnd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теоретичними</w:t>
      </w:r>
      <w:proofErr w:type="spellEnd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знаннями</w:t>
      </w:r>
      <w:proofErr w:type="spellEnd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якість</w:t>
      </w:r>
      <w:proofErr w:type="spellEnd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практичних</w:t>
      </w:r>
      <w:proofErr w:type="spellEnd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умінь</w:t>
      </w:r>
      <w:proofErr w:type="spellEnd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навичок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застосовувати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вивчений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розв'язування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</w:t>
      </w:r>
      <w:proofErr w:type="spellEnd"/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1919"/>
        <w:gridCol w:w="1076"/>
        <w:gridCol w:w="6350"/>
      </w:tblGrid>
      <w:tr w:rsidR="00F61F85" w:rsidRPr="00F61F85" w:rsidTr="00F61F85">
        <w:tc>
          <w:tcPr>
            <w:tcW w:w="192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proofErr w:type="gramStart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lastRenderedPageBreak/>
              <w:t>Р</w:t>
            </w:r>
            <w:proofErr w:type="gramEnd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івні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навчальних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досягнень</w:t>
            </w:r>
            <w:proofErr w:type="spellEnd"/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Бали</w:t>
            </w:r>
            <w:proofErr w:type="spellEnd"/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Критерії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оцінювання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навчальних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досягнень</w:t>
            </w:r>
            <w:proofErr w:type="spellEnd"/>
          </w:p>
        </w:tc>
      </w:tr>
      <w:tr w:rsidR="00F61F85" w:rsidRPr="00F61F85" w:rsidTr="00F61F85">
        <w:tc>
          <w:tcPr>
            <w:tcW w:w="192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 </w:t>
            </w:r>
          </w:p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 xml:space="preserve">I.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Початковий</w:t>
            </w:r>
            <w:proofErr w:type="spellEnd"/>
          </w:p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1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розпізнає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один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із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кількох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запропонованих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об'єктів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символів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виразів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геометричних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фігур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тощо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), </w:t>
            </w:r>
            <w:proofErr w:type="spellStart"/>
            <w:proofErr w:type="gram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вид</w:t>
            </w:r>
            <w:proofErr w:type="gram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іливши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його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серед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інших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читає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записує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числа,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переписує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даний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математичний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вираз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формулу;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зображує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найпростіші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геометричні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фігури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малює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ескіз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)</w:t>
            </w:r>
          </w:p>
        </w:tc>
      </w:tr>
      <w:tr w:rsidR="00F61F85" w:rsidRPr="00F61F85" w:rsidTr="00F61F8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2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виконує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однокрокові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дії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числами,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найпростішими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математичними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виразами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впізнає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окремі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об'єкти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пояснює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св</w:t>
            </w:r>
            <w:proofErr w:type="gram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ій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вибір</w:t>
            </w:r>
            <w:proofErr w:type="spellEnd"/>
          </w:p>
        </w:tc>
      </w:tr>
      <w:tr w:rsidR="00F61F85" w:rsidRPr="00F61F85" w:rsidTr="00F61F8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3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співставляє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дані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або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словесно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описан</w:t>
            </w:r>
            <w:proofErr w:type="gram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об'єкти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за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їх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суттєвими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властивостями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за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допомогою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виконує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елементарні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завдання</w:t>
            </w:r>
            <w:proofErr w:type="spellEnd"/>
          </w:p>
        </w:tc>
      </w:tr>
      <w:tr w:rsidR="00F61F85" w:rsidRPr="00F61F85" w:rsidTr="00F61F85">
        <w:tc>
          <w:tcPr>
            <w:tcW w:w="192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 </w:t>
            </w:r>
          </w:p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 xml:space="preserve">II.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4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відтворює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означення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понять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формулювання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тверджень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називає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елементи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об'єктів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формулює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деякі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властивості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об'єктів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виконує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за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зразком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завдання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обов'язкового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</w:t>
            </w:r>
            <w:proofErr w:type="gram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івня</w:t>
            </w:r>
            <w:proofErr w:type="spellEnd"/>
          </w:p>
        </w:tc>
      </w:tr>
      <w:tr w:rsidR="00F61F85" w:rsidRPr="00F61F85" w:rsidTr="00F61F8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5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ілюструє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означення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понять,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формулювань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теорем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правил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виконання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дій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прикладами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із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пояснень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або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</w:t>
            </w:r>
            <w:proofErr w:type="gram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ідручника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завдання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обов'язкового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рівня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за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відомими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алгоритмами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частковим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поясненням</w:t>
            </w:r>
            <w:proofErr w:type="spellEnd"/>
          </w:p>
        </w:tc>
      </w:tr>
      <w:tr w:rsidR="00F61F85" w:rsidRPr="00F61F85" w:rsidTr="00F61F8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6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ілюструє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означення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понять,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формулювань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теорем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правил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виконання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дій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власними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прикладами;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самостійно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завдання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обов'язкового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</w:t>
            </w:r>
            <w:proofErr w:type="gram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івня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достатнім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поясненням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записує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математичний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вираз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формулу за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словесним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формулюванням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навпаки</w:t>
            </w:r>
            <w:proofErr w:type="spellEnd"/>
          </w:p>
        </w:tc>
      </w:tr>
      <w:tr w:rsidR="00F61F85" w:rsidRPr="00F61F85" w:rsidTr="00F61F85">
        <w:tc>
          <w:tcPr>
            <w:tcW w:w="192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 </w:t>
            </w:r>
          </w:p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 xml:space="preserve">III.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Достатній</w:t>
            </w:r>
            <w:proofErr w:type="spellEnd"/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7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застосовує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означення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понять та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їх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властивостей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для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завдань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у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знайомих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ситуаціях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знає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залежності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між</w:t>
            </w:r>
            <w:proofErr w:type="spellEnd"/>
            <w:proofErr w:type="gram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елементами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об'єктів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самостійно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виправляє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вказані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йому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їй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помилки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завдання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передбачені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lastRenderedPageBreak/>
              <w:t>програмою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без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достатніх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пояснень</w:t>
            </w:r>
            <w:proofErr w:type="spellEnd"/>
          </w:p>
        </w:tc>
      </w:tr>
      <w:tr w:rsidR="00F61F85" w:rsidRPr="00F61F85" w:rsidTr="00F61F8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8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володіє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визначеним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програмою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навчальним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матер</w:t>
            </w:r>
            <w:proofErr w:type="gram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іалом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завдання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передбачені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програмою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частковим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поясненням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частково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аргументує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міркування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й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розв'язування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завдань</w:t>
            </w:r>
            <w:proofErr w:type="spellEnd"/>
          </w:p>
        </w:tc>
      </w:tr>
      <w:tr w:rsidR="00F61F85" w:rsidRPr="00F61F85" w:rsidTr="00F61F8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9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):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вільно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володіє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визначеним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програмою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навчальним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матер</w:t>
            </w:r>
            <w:proofErr w:type="gram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іалом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самостійно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виконує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завдання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в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знайомих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ситуаціях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достатнім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поясненням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виправляє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допущені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помилки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повністю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аргументує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обґрунтування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тверджень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завдання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достатнім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поясненням</w:t>
            </w:r>
            <w:proofErr w:type="spellEnd"/>
          </w:p>
        </w:tc>
      </w:tr>
      <w:tr w:rsidR="00F61F85" w:rsidRPr="00F61F85" w:rsidTr="00F61F85">
        <w:tc>
          <w:tcPr>
            <w:tcW w:w="192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 </w:t>
            </w:r>
          </w:p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 xml:space="preserve">IV.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Високий</w:t>
            </w:r>
            <w:proofErr w:type="spellEnd"/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10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Знання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вміння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й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навички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повністю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відповідають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вимогам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програми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зокрема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: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усвідомлює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нові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для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нього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неї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факти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ідеї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вміє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доводити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передбачені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програмою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твердження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достатнім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обґрунтуванням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proofErr w:type="gram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</w:t>
            </w:r>
            <w:proofErr w:type="gram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ід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керівництвом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учителя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знаходить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джерела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інформації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та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самостійно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використовує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їх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завдання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повним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поясненням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обґрунтуванням</w:t>
            </w:r>
            <w:proofErr w:type="spellEnd"/>
          </w:p>
        </w:tc>
      </w:tr>
      <w:tr w:rsidR="00F61F85" w:rsidRPr="00F61F85" w:rsidTr="00F61F8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11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вільно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правильно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висловлює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відповідні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міркування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переконливо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аргументує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їх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самостійно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знаходить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джерела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інформації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та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працює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ними;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використовує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набуті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знання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вміння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в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незнайомих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для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нього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неї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ситуаціях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зна</w:t>
            </w:r>
            <w:proofErr w:type="gram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,</w:t>
            </w:r>
            <w:proofErr w:type="gram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передбачені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програмою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основні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методи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завдання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вміє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їх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застосовувати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необхідним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обґрунтуванням</w:t>
            </w:r>
            <w:proofErr w:type="spellEnd"/>
          </w:p>
        </w:tc>
      </w:tr>
      <w:tr w:rsidR="00F61F85" w:rsidRPr="00F61F85" w:rsidTr="00F61F8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61F8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12</w:t>
            </w:r>
          </w:p>
        </w:tc>
        <w:tc>
          <w:tcPr>
            <w:tcW w:w="64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61F85" w:rsidRPr="00F61F85" w:rsidRDefault="00F61F85" w:rsidP="00F6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виявляє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варіативність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мислення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раціональність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у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виборі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способу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математичної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проблеми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вміє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узагальнювати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й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систематизувати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набуті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знання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здатни</w:t>
            </w:r>
            <w:proofErr w:type="gram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й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(</w:t>
            </w:r>
            <w:proofErr w:type="gram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а) до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розв'язування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нестандартних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задач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</w:t>
            </w:r>
            <w:proofErr w:type="spellEnd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61F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вправ</w:t>
            </w:r>
            <w:proofErr w:type="spellEnd"/>
          </w:p>
        </w:tc>
      </w:tr>
    </w:tbl>
    <w:p w:rsidR="00000000" w:rsidRPr="00F61F85" w:rsidRDefault="00F61F85" w:rsidP="00F61F85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F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000000" w:rsidRPr="00F6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6D54"/>
    <w:multiLevelType w:val="multilevel"/>
    <w:tmpl w:val="F218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F85"/>
    <w:rsid w:val="00F6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F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6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1F85"/>
    <w:rPr>
      <w:b/>
      <w:bCs/>
    </w:rPr>
  </w:style>
  <w:style w:type="character" w:styleId="a5">
    <w:name w:val="Hyperlink"/>
    <w:basedOn w:val="a0"/>
    <w:uiPriority w:val="99"/>
    <w:semiHidden/>
    <w:unhideWhenUsed/>
    <w:rsid w:val="00F61F85"/>
    <w:rPr>
      <w:color w:val="0000FF"/>
      <w:u w:val="single"/>
    </w:rPr>
  </w:style>
  <w:style w:type="character" w:customStyle="1" w:styleId="wdgbtntxt">
    <w:name w:val="wdg_btn_txt"/>
    <w:basedOn w:val="a0"/>
    <w:rsid w:val="00F61F85"/>
  </w:style>
  <w:style w:type="paragraph" w:customStyle="1" w:styleId="info">
    <w:name w:val="info"/>
    <w:basedOn w:val="a"/>
    <w:rsid w:val="00F6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1F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61F8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1F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61F85"/>
    <w:rPr>
      <w:rFonts w:ascii="Arial" w:eastAsia="Times New Roman" w:hAnsi="Arial" w:cs="Arial"/>
      <w:vanish/>
      <w:sz w:val="16"/>
      <w:szCs w:val="16"/>
    </w:rPr>
  </w:style>
  <w:style w:type="character" w:customStyle="1" w:styleId="postdate">
    <w:name w:val="post_date"/>
    <w:basedOn w:val="a0"/>
    <w:rsid w:val="00F61F85"/>
  </w:style>
  <w:style w:type="character" w:customStyle="1" w:styleId="postreplay">
    <w:name w:val="post_replay"/>
    <w:basedOn w:val="a0"/>
    <w:rsid w:val="00F61F85"/>
  </w:style>
  <w:style w:type="character" w:customStyle="1" w:styleId="bhead">
    <w:name w:val="bhead"/>
    <w:basedOn w:val="a0"/>
    <w:rsid w:val="00F61F85"/>
  </w:style>
  <w:style w:type="character" w:customStyle="1" w:styleId="blead">
    <w:name w:val="blead"/>
    <w:basedOn w:val="a0"/>
    <w:rsid w:val="00F61F85"/>
  </w:style>
  <w:style w:type="paragraph" w:styleId="a6">
    <w:name w:val="Balloon Text"/>
    <w:basedOn w:val="a"/>
    <w:link w:val="a7"/>
    <w:uiPriority w:val="99"/>
    <w:semiHidden/>
    <w:unhideWhenUsed/>
    <w:rsid w:val="00F6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467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977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89779">
              <w:marLeft w:val="300"/>
              <w:marRight w:val="-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0683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79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7502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08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434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8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1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6551417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167627">
          <w:marLeft w:val="-39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0109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7592">
                  <w:marLeft w:val="-15"/>
                  <w:marRight w:val="-15"/>
                  <w:marTop w:val="0"/>
                  <w:marBottom w:val="0"/>
                  <w:divBdr>
                    <w:top w:val="single" w:sz="6" w:space="0" w:color="EBE6E6"/>
                    <w:left w:val="single" w:sz="6" w:space="0" w:color="EBE6E6"/>
                    <w:bottom w:val="single" w:sz="6" w:space="0" w:color="EBE6E6"/>
                    <w:right w:val="single" w:sz="6" w:space="0" w:color="EBE6E6"/>
                  </w:divBdr>
                </w:div>
              </w:divsChild>
            </w:div>
            <w:div w:id="407381159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246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432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587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1027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2020-04-12T13:21:00Z</dcterms:created>
  <dcterms:modified xsi:type="dcterms:W3CDTF">2020-04-12T13:23:00Z</dcterms:modified>
</cp:coreProperties>
</file>